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8A5B"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01A4A100" w14:textId="77777777" w:rsidR="009B6F95" w:rsidRPr="00C803F3" w:rsidRDefault="00FF7E4C" w:rsidP="009B6F95">
          <w:pPr>
            <w:pStyle w:val="Title1"/>
          </w:pPr>
          <w:r>
            <w:t>LGA 2018/19 Budget Framework</w:t>
          </w:r>
        </w:p>
      </w:sdtContent>
    </w:sdt>
    <w:bookmarkEnd w:id="0" w:displacedByCustomXml="prev"/>
    <w:p w14:paraId="23C12B9C"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4B2B26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EB95CEA" w14:textId="032231F8" w:rsidR="009B6F95" w:rsidRPr="00C803F3" w:rsidRDefault="00FF7E4C"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382E5799" w14:textId="77777777" w:rsidR="009B6F95" w:rsidRPr="00A627DD" w:rsidRDefault="009B6F95" w:rsidP="00B84F31">
          <w:pPr>
            <w:ind w:left="0" w:firstLine="0"/>
          </w:pPr>
          <w:r w:rsidRPr="00C803F3">
            <w:rPr>
              <w:rStyle w:val="Style6"/>
            </w:rPr>
            <w:t>Summary</w:t>
          </w:r>
        </w:p>
      </w:sdtContent>
    </w:sdt>
    <w:p w14:paraId="64E35335" w14:textId="77777777" w:rsidR="009B6F95" w:rsidRDefault="00FF7E4C" w:rsidP="00B84F31">
      <w:pPr>
        <w:pStyle w:val="Title3"/>
        <w:ind w:left="0" w:firstLine="0"/>
      </w:pPr>
      <w:r>
        <w:t>Leadership Board reviewed the LGA’s Financial Strategy for 2017/18 to 2019/20 in January 2017.</w:t>
      </w:r>
    </w:p>
    <w:p w14:paraId="7FFC1528" w14:textId="77777777" w:rsidR="00FF7E4C" w:rsidRDefault="00FF7E4C" w:rsidP="00B84F31">
      <w:pPr>
        <w:pStyle w:val="Title3"/>
        <w:ind w:left="0" w:firstLine="0"/>
      </w:pPr>
      <w:r>
        <w:t>This report formed the basis of the 2017/18 budget-setting process.  It is proposed that the “Year 2” of the Financial Strategy for 2017/18 to 2019/20 as previously presented provides the core starting point for the 2018/19 budget</w:t>
      </w:r>
      <w:r w:rsidR="00F052C9">
        <w:t xml:space="preserve"> (and a proposed Medium term financial Plan)</w:t>
      </w:r>
      <w:r>
        <w:t xml:space="preserve">, with Cost Centres required to demonstrate </w:t>
      </w:r>
      <w:r w:rsidR="0071033C">
        <w:t xml:space="preserve">and explain </w:t>
      </w:r>
      <w:r>
        <w:t>chang</w:t>
      </w:r>
      <w:r w:rsidR="0071033C">
        <w:t>es from that original estimate.</w:t>
      </w:r>
    </w:p>
    <w:p w14:paraId="04C497DF" w14:textId="77777777" w:rsidR="009B6F95" w:rsidRDefault="00153B70" w:rsidP="00B84F31">
      <w:pPr>
        <w:pStyle w:val="Title3"/>
      </w:pPr>
      <w:r>
        <w:t>A draft memorandum to Budget Holders is also presented for review.</w:t>
      </w:r>
    </w:p>
    <w:p w14:paraId="0502EEB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8DA69F3" wp14:editId="2491A0C5">
                <wp:simplePos x="0" y="0"/>
                <wp:positionH relativeFrom="margin">
                  <wp:posOffset>0</wp:posOffset>
                </wp:positionH>
                <wp:positionV relativeFrom="paragraph">
                  <wp:posOffset>67945</wp:posOffset>
                </wp:positionV>
                <wp:extent cx="5705475" cy="1905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10921" w14:textId="77777777" w:rsidR="008C7815" w:rsidRDefault="008C7815" w:rsidP="00B42A88">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74A7E8BD" w14:textId="2794A363" w:rsidR="008C7815" w:rsidRPr="00A627DD" w:rsidRDefault="00EC3F78" w:rsidP="00B84F31">
                                <w:pPr>
                                  <w:ind w:left="0" w:firstLine="0"/>
                                </w:pPr>
                                <w:r>
                                  <w:rPr>
                                    <w:rStyle w:val="Style6"/>
                                  </w:rPr>
                                  <w:t>Recommendation</w:t>
                                </w:r>
                              </w:p>
                            </w:sdtContent>
                          </w:sdt>
                          <w:p w14:paraId="68988BE0" w14:textId="77777777" w:rsidR="008C7815" w:rsidRDefault="008C7815" w:rsidP="00B84F31">
                            <w:pPr>
                              <w:pStyle w:val="Title3"/>
                              <w:ind w:left="0" w:firstLine="0"/>
                            </w:pPr>
                            <w:r w:rsidRPr="00B84F31">
                              <w:t>That</w:t>
                            </w:r>
                            <w:r>
                              <w:t xml:space="preserve"> the Leadership agree the proposed 2018/19 Budget Framework for the LG Group Companies – using the Financial Strategy from January 2017 as the basis, and updated as required, and budget ownership is formalised.</w:t>
                            </w:r>
                          </w:p>
                          <w:p w14:paraId="54DE7321" w14:textId="7ED6F8C5" w:rsidR="008C7815" w:rsidRPr="00B42A88" w:rsidRDefault="00B42A88" w:rsidP="00B42A88">
                            <w:pPr>
                              <w:ind w:left="0" w:firstLine="0"/>
                              <w:rPr>
                                <w:b/>
                              </w:rPr>
                            </w:pPr>
                            <w:sdt>
                              <w:sdtPr>
                                <w:rPr>
                                  <w:rStyle w:val="Style6"/>
                                </w:rPr>
                                <w:alias w:val="Action/s"/>
                                <w:tag w:val="Action/s"/>
                                <w:id w:val="450136090"/>
                                <w:placeholder>
                                  <w:docPart w:val="116A86B4BA654E03A694D167A630844B"/>
                                </w:placeholder>
                              </w:sdtPr>
                              <w:sdtEndPr>
                                <w:rPr>
                                  <w:rStyle w:val="Style6"/>
                                </w:rPr>
                              </w:sdtEndPr>
                              <w:sdtContent>
                                <w:r w:rsidR="00EC3F78">
                                  <w:rPr>
                                    <w:rStyle w:val="Style6"/>
                                  </w:rPr>
                                  <w:t>Action</w:t>
                                </w:r>
                              </w:sdtContent>
                            </w:sdt>
                            <w:r>
                              <w:br/>
                              <w:t xml:space="preserve">Officers to take any action as </w:t>
                            </w:r>
                            <w:r w:rsidR="008C7815">
                              <w:t>directed by Members</w:t>
                            </w:r>
                            <w:r>
                              <w:t xml:space="preserve">. </w:t>
                            </w:r>
                          </w:p>
                          <w:p w14:paraId="74F3AB40" w14:textId="77777777" w:rsidR="008C7815" w:rsidRDefault="008C7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A69F3" id="_x0000_t202" coordsize="21600,21600" o:spt="202" path="m,l,21600r21600,l21600,xe">
                <v:stroke joinstyle="miter"/>
                <v:path gradientshapeok="t" o:connecttype="rect"/>
              </v:shapetype>
              <v:shape id="Text Box 1" o:spid="_x0000_s1026" type="#_x0000_t202" style="position:absolute;left:0;text-align:left;margin-left:0;margin-top:5.35pt;width:449.2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" fillcolor="white [3201]" strokeweight=".5pt">
                <v:textbox>
                  <w:txbxContent>
                    <w:p w14:paraId="1B610921" w14:textId="77777777" w:rsidR="008C7815" w:rsidRDefault="008C7815" w:rsidP="00B42A88">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74A7E8BD" w14:textId="2794A363" w:rsidR="008C7815" w:rsidRPr="00A627DD" w:rsidRDefault="00EC3F78" w:rsidP="00B84F31">
                          <w:pPr>
                            <w:ind w:left="0" w:firstLine="0"/>
                          </w:pPr>
                          <w:r>
                            <w:rPr>
                              <w:rStyle w:val="Style6"/>
                            </w:rPr>
                            <w:t>Recommendation</w:t>
                          </w:r>
                        </w:p>
                      </w:sdtContent>
                    </w:sdt>
                    <w:p w14:paraId="68988BE0" w14:textId="77777777" w:rsidR="008C7815" w:rsidRDefault="008C7815" w:rsidP="00B84F31">
                      <w:pPr>
                        <w:pStyle w:val="Title3"/>
                        <w:ind w:left="0" w:firstLine="0"/>
                      </w:pPr>
                      <w:r w:rsidRPr="00B84F31">
                        <w:t>That</w:t>
                      </w:r>
                      <w:r>
                        <w:t xml:space="preserve"> the Leadership agree the proposed 2018/19 Budget Framework for the LG Group Companies – using the Financial Strategy from January 2017 as the basis, and updated as required, and budget ownership is formalised.</w:t>
                      </w:r>
                    </w:p>
                    <w:p w14:paraId="54DE7321" w14:textId="7ED6F8C5" w:rsidR="008C7815" w:rsidRPr="00B42A88" w:rsidRDefault="00B42A88" w:rsidP="00B42A88">
                      <w:pPr>
                        <w:ind w:left="0" w:firstLine="0"/>
                        <w:rPr>
                          <w:b/>
                        </w:rPr>
                      </w:pPr>
                      <w:sdt>
                        <w:sdtPr>
                          <w:rPr>
                            <w:rStyle w:val="Style6"/>
                          </w:rPr>
                          <w:alias w:val="Action/s"/>
                          <w:tag w:val="Action/s"/>
                          <w:id w:val="450136090"/>
                          <w:placeholder>
                            <w:docPart w:val="116A86B4BA654E03A694D167A630844B"/>
                          </w:placeholder>
                        </w:sdtPr>
                        <w:sdtEndPr>
                          <w:rPr>
                            <w:rStyle w:val="Style6"/>
                          </w:rPr>
                        </w:sdtEndPr>
                        <w:sdtContent>
                          <w:r w:rsidR="00EC3F78">
                            <w:rPr>
                              <w:rStyle w:val="Style6"/>
                            </w:rPr>
                            <w:t>Action</w:t>
                          </w:r>
                        </w:sdtContent>
                      </w:sdt>
                      <w:r>
                        <w:br/>
                        <w:t xml:space="preserve">Officers to take any action as </w:t>
                      </w:r>
                      <w:r w:rsidR="008C7815">
                        <w:t>directed by Members</w:t>
                      </w:r>
                      <w:r>
                        <w:t xml:space="preserve">. </w:t>
                      </w:r>
                    </w:p>
                    <w:p w14:paraId="74F3AB40" w14:textId="77777777" w:rsidR="008C7815" w:rsidRDefault="008C7815"/>
                  </w:txbxContent>
                </v:textbox>
                <w10:wrap anchorx="margin"/>
              </v:shape>
            </w:pict>
          </mc:Fallback>
        </mc:AlternateContent>
      </w:r>
    </w:p>
    <w:p w14:paraId="5C8C14B4" w14:textId="77777777" w:rsidR="009B6F95" w:rsidRDefault="009B6F95" w:rsidP="00B84F31">
      <w:pPr>
        <w:pStyle w:val="Title3"/>
      </w:pPr>
    </w:p>
    <w:p w14:paraId="050328C4" w14:textId="77777777" w:rsidR="009B6F95" w:rsidRDefault="009B6F95" w:rsidP="00B84F31">
      <w:pPr>
        <w:pStyle w:val="Title3"/>
      </w:pPr>
    </w:p>
    <w:p w14:paraId="653FA5D7" w14:textId="77777777" w:rsidR="009B6F95" w:rsidRDefault="009B6F95" w:rsidP="00B84F31">
      <w:pPr>
        <w:pStyle w:val="Title3"/>
      </w:pPr>
    </w:p>
    <w:p w14:paraId="55CA239D" w14:textId="77777777" w:rsidR="009B6F95" w:rsidRDefault="009B6F95" w:rsidP="00B84F31">
      <w:pPr>
        <w:pStyle w:val="Title3"/>
      </w:pPr>
    </w:p>
    <w:p w14:paraId="46C51733" w14:textId="77777777" w:rsidR="009B6F95" w:rsidRDefault="009B6F95" w:rsidP="00B84F31">
      <w:pPr>
        <w:pStyle w:val="Title3"/>
      </w:pPr>
    </w:p>
    <w:p w14:paraId="1217DF37" w14:textId="77777777" w:rsidR="009B6F95" w:rsidRDefault="009B6F95" w:rsidP="00B84F31">
      <w:pPr>
        <w:pStyle w:val="Title3"/>
      </w:pPr>
    </w:p>
    <w:p w14:paraId="38DAF2BC" w14:textId="77777777" w:rsidR="009B6F95" w:rsidRDefault="009B6F95" w:rsidP="00B84F31">
      <w:pPr>
        <w:pStyle w:val="Title3"/>
      </w:pPr>
    </w:p>
    <w:p w14:paraId="429EE127" w14:textId="77777777" w:rsidR="009B6F95" w:rsidRDefault="009B6F95" w:rsidP="00B84F31">
      <w:pPr>
        <w:pStyle w:val="Title3"/>
      </w:pPr>
    </w:p>
    <w:p w14:paraId="64305A40" w14:textId="77777777" w:rsidR="009B6F95" w:rsidRDefault="009B6F95" w:rsidP="00B84F31">
      <w:pPr>
        <w:pStyle w:val="Title3"/>
      </w:pPr>
    </w:p>
    <w:p w14:paraId="2E033539" w14:textId="77777777" w:rsidR="009B6F95" w:rsidRPr="00C803F3" w:rsidRDefault="00B42A8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7E4C">
            <w:t>Jonathan Gratte</w:t>
          </w:r>
        </w:sdtContent>
      </w:sdt>
    </w:p>
    <w:p w14:paraId="4C1D9BBB" w14:textId="77777777" w:rsidR="009B6F95" w:rsidRDefault="00B42A8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7E4C">
            <w:t>Strategic Finance Manager</w:t>
          </w:r>
        </w:sdtContent>
      </w:sdt>
    </w:p>
    <w:p w14:paraId="26EC2E7A" w14:textId="77777777" w:rsidR="009B6F95" w:rsidRDefault="00B42A8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F7E4C">
            <w:t>187</w:t>
          </w:r>
          <w:r w:rsidR="009B6F95" w:rsidRPr="00C803F3">
            <w:t xml:space="preserve"> </w:t>
          </w:r>
          <w:r w:rsidR="00FF7E4C">
            <w:t>7309</w:t>
          </w:r>
        </w:sdtContent>
      </w:sdt>
      <w:r w:rsidR="009B6F95" w:rsidRPr="00B5377C">
        <w:t xml:space="preserve"> </w:t>
      </w:r>
    </w:p>
    <w:p w14:paraId="4DBFB41E" w14:textId="77777777" w:rsidR="009B6F95" w:rsidRDefault="00B42A8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F7E4C">
            <w:t>jonathan.gratte</w:t>
          </w:r>
          <w:r w:rsidR="009B6F95" w:rsidRPr="00C803F3">
            <w:t>@local.gov.uk</w:t>
          </w:r>
        </w:sdtContent>
      </w:sdt>
    </w:p>
    <w:p w14:paraId="4E6DCCC6" w14:textId="77777777" w:rsidR="009B6F95" w:rsidRPr="00E8118A" w:rsidRDefault="009B6F95" w:rsidP="00B84F31">
      <w:pPr>
        <w:pStyle w:val="Title3"/>
      </w:pPr>
    </w:p>
    <w:p w14:paraId="655594A8" w14:textId="77777777" w:rsidR="009B6F95" w:rsidRPr="00C803F3" w:rsidRDefault="009B6F95" w:rsidP="00B84F31">
      <w:pPr>
        <w:pStyle w:val="Title3"/>
      </w:pPr>
      <w:r w:rsidRPr="00C803F3">
        <w:t xml:space="preserve"> </w:t>
      </w:r>
    </w:p>
    <w:p w14:paraId="5A8069F4" w14:textId="77777777" w:rsidR="009B6F95" w:rsidRPr="00C803F3" w:rsidRDefault="009B6F95" w:rsidP="00EC3F78">
      <w:pPr>
        <w:ind w:left="0" w:firstLine="0"/>
      </w:pPr>
    </w:p>
    <w:p w14:paraId="0B6DA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2509737"/>
          <w:placeholder>
            <w:docPart w:val="F19CC483F0124F258242828D441B43D4"/>
          </w:placeholder>
          <w:text w:multiLine="1"/>
        </w:sdtPr>
        <w:sdtEndPr/>
        <w:sdtContent>
          <w:r w:rsidR="00F052C9" w:rsidRPr="00F052C9">
            <w:rPr>
              <w:rFonts w:eastAsiaTheme="minorEastAsia" w:cs="Arial"/>
              <w:bCs/>
              <w:lang w:eastAsia="ja-JP"/>
            </w:rPr>
            <w:t>LGA 2018/19 Budget Framework</w:t>
          </w:r>
        </w:sdtContent>
      </w:sdt>
      <w:r>
        <w:fldChar w:fldCharType="end"/>
      </w:r>
    </w:p>
    <w:p w14:paraId="08C98975" w14:textId="77777777" w:rsidR="009B6F95" w:rsidRPr="00C803F3" w:rsidRDefault="00B42A8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6AB0806" w14:textId="77777777" w:rsidR="001079D9" w:rsidRDefault="001079D9" w:rsidP="001079D9">
      <w:pPr>
        <w:pStyle w:val="ListParagraph"/>
      </w:pPr>
      <w:r>
        <w:rPr>
          <w:rStyle w:val="ReportTemplate"/>
        </w:rPr>
        <w:t>Leadership Board</w:t>
      </w:r>
      <w:r w:rsidRPr="001079D9">
        <w:t xml:space="preserve"> </w:t>
      </w:r>
      <w:r>
        <w:t>reviewed and agreed the LGA’s Financial Strategy for 2017/18 to 2019/20 in January 2017.  The paper covered: Pensions Deficit Management; Property Asset Management; Treasury management; Commercial Income Development; and Revenue Budget for the three years under review.</w:t>
      </w:r>
    </w:p>
    <w:p w14:paraId="7B3E2B7B" w14:textId="77777777" w:rsidR="00EC3F78" w:rsidRDefault="00EC3F78" w:rsidP="00EC3F78">
      <w:pPr>
        <w:pStyle w:val="ListParagraph"/>
        <w:numPr>
          <w:ilvl w:val="0"/>
          <w:numId w:val="0"/>
        </w:numPr>
        <w:ind w:left="360"/>
      </w:pPr>
    </w:p>
    <w:p w14:paraId="5A5FA2B3" w14:textId="77777777" w:rsidR="001079D9" w:rsidRDefault="001079D9" w:rsidP="001079D9">
      <w:pPr>
        <w:pStyle w:val="ListParagraph"/>
      </w:pPr>
      <w:r w:rsidRPr="009C1CAE">
        <w:t xml:space="preserve">The </w:t>
      </w:r>
      <w:r w:rsidR="00301B72">
        <w:t xml:space="preserve">key message was that </w:t>
      </w:r>
      <w:r w:rsidRPr="009C1CAE">
        <w:t xml:space="preserve">LGA's financial position </w:t>
      </w:r>
      <w:r>
        <w:t>continues to be</w:t>
      </w:r>
      <w:r w:rsidRPr="009C1CAE">
        <w:t xml:space="preserve"> challenging, partly because of uncertainty about the LGA's funding base over the medium term in relation to both members subscriptions and </w:t>
      </w:r>
      <w:r>
        <w:t>DCLG Grant</w:t>
      </w:r>
      <w:r w:rsidRPr="009C1CAE">
        <w:t>; but mainly because of the substantial pension deficits faced by the LGA and the IDeA.</w:t>
      </w:r>
    </w:p>
    <w:p w14:paraId="1B16F95C" w14:textId="77777777" w:rsidR="00EC3F78" w:rsidRDefault="00EC3F78" w:rsidP="00EC3F78">
      <w:pPr>
        <w:pStyle w:val="ListParagraph"/>
        <w:numPr>
          <w:ilvl w:val="0"/>
          <w:numId w:val="0"/>
        </w:numPr>
        <w:ind w:left="360"/>
      </w:pPr>
    </w:p>
    <w:p w14:paraId="21F182AC" w14:textId="77777777" w:rsidR="001079D9" w:rsidRDefault="001079D9" w:rsidP="001079D9">
      <w:pPr>
        <w:pStyle w:val="ListParagraph"/>
      </w:pPr>
      <w:r w:rsidRPr="009C1CAE">
        <w:t xml:space="preserve">Although the LGA owns the freehold of two buildings in central London — Local </w:t>
      </w:r>
      <w:r w:rsidRPr="004D72B5">
        <w:t>Government House and Layden House — and also has significant cash balances, overall its liabilities exceeded its assets by over £</w:t>
      </w:r>
      <w:r>
        <w:t>71</w:t>
      </w:r>
      <w:r w:rsidRPr="004D72B5">
        <w:t xml:space="preserve"> million at </w:t>
      </w:r>
      <w:r>
        <w:t>31 March 2017 (</w:t>
      </w:r>
      <w:r w:rsidR="00F27F41">
        <w:t xml:space="preserve">a significant deterioration from the </w:t>
      </w:r>
      <w:r>
        <w:t xml:space="preserve">£43 million </w:t>
      </w:r>
      <w:r w:rsidR="00F27F41">
        <w:t xml:space="preserve">reported </w:t>
      </w:r>
      <w:r>
        <w:t xml:space="preserve">at </w:t>
      </w:r>
      <w:r w:rsidRPr="004D72B5">
        <w:t>31 March 201</w:t>
      </w:r>
      <w:r>
        <w:t>6</w:t>
      </w:r>
      <w:r w:rsidR="00F27F41">
        <w:t xml:space="preserve"> due to increased Pension Scheme deficits arising from adjusted actuarial valuations</w:t>
      </w:r>
      <w:r>
        <w:t>)</w:t>
      </w:r>
      <w:r w:rsidRPr="004D72B5">
        <w:t>.</w:t>
      </w:r>
    </w:p>
    <w:p w14:paraId="3CCF98E9" w14:textId="77777777" w:rsidR="00EC3F78" w:rsidRDefault="00EC3F78" w:rsidP="00EC3F78">
      <w:pPr>
        <w:pStyle w:val="ListParagraph"/>
        <w:numPr>
          <w:ilvl w:val="0"/>
          <w:numId w:val="0"/>
        </w:numPr>
        <w:ind w:left="360"/>
      </w:pPr>
    </w:p>
    <w:p w14:paraId="492ECB90" w14:textId="77777777" w:rsidR="001079D9" w:rsidRDefault="00301B72" w:rsidP="001079D9">
      <w:pPr>
        <w:pStyle w:val="ListParagraph"/>
      </w:pPr>
      <w:r>
        <w:t>However, t</w:t>
      </w:r>
      <w:r w:rsidR="001079D9" w:rsidRPr="004C5755">
        <w:t xml:space="preserve">he outlook for the short to medium term </w:t>
      </w:r>
      <w:r w:rsidR="001079D9">
        <w:t>remains</w:t>
      </w:r>
      <w:r w:rsidR="001079D9" w:rsidRPr="004C5755">
        <w:t xml:space="preserve"> reasonably positive. In spite of their </w:t>
      </w:r>
      <w:r w:rsidR="001079D9">
        <w:t xml:space="preserve">continued </w:t>
      </w:r>
      <w:r w:rsidR="001079D9" w:rsidRPr="004C5755">
        <w:t xml:space="preserve">overall net </w:t>
      </w:r>
      <w:r w:rsidR="001079D9">
        <w:t xml:space="preserve">Balance Sheet </w:t>
      </w:r>
      <w:r w:rsidR="001079D9" w:rsidRPr="004C5755">
        <w:t>deficit position, the assessment is that the LGA and the IDeA continue to be going concerns</w:t>
      </w:r>
      <w:r>
        <w:t xml:space="preserve"> (confirmed by the external auditors)</w:t>
      </w:r>
      <w:r w:rsidR="001079D9" w:rsidRPr="004C5755">
        <w:t xml:space="preserve">. This is because for both organisations there is a continuous prospect for the next financial year at least, of a positive </w:t>
      </w:r>
      <w:proofErr w:type="spellStart"/>
      <w:r w:rsidR="001079D9" w:rsidRPr="004C5755">
        <w:t>cashflow</w:t>
      </w:r>
      <w:proofErr w:type="spellEnd"/>
      <w:r w:rsidR="001079D9" w:rsidRPr="004C5755">
        <w:t xml:space="preserve"> to meet the claims</w:t>
      </w:r>
      <w:r w:rsidR="001079D9">
        <w:t xml:space="preserve"> of the pension fund actuaries. </w:t>
      </w:r>
      <w:r w:rsidR="000E304B">
        <w:t>Also, it is recognised that the current plans to reduce our pension scheme deficit and enhance our investment assets should result in positive Net Assets within a few years.</w:t>
      </w:r>
    </w:p>
    <w:p w14:paraId="015783FC" w14:textId="77777777" w:rsidR="00EC3F78" w:rsidRDefault="00EC3F78" w:rsidP="00EC3F78">
      <w:pPr>
        <w:pStyle w:val="ListParagraph"/>
        <w:numPr>
          <w:ilvl w:val="0"/>
          <w:numId w:val="0"/>
        </w:numPr>
        <w:ind w:left="360"/>
      </w:pPr>
    </w:p>
    <w:p w14:paraId="23442D4E" w14:textId="77777777" w:rsidR="009B6F95" w:rsidRDefault="001079D9" w:rsidP="001079D9">
      <w:pPr>
        <w:pStyle w:val="ListParagraph"/>
      </w:pPr>
      <w:r>
        <w:t>In terms of annual income and expenditure th</w:t>
      </w:r>
      <w:r w:rsidR="00301B72">
        <w:t>e January 2017</w:t>
      </w:r>
      <w:r>
        <w:t xml:space="preserve"> strategy assume</w:t>
      </w:r>
      <w:r w:rsidR="00301B72">
        <w:t>d</w:t>
      </w:r>
      <w:r>
        <w:t xml:space="preserve"> a gradual reduction in direct government funding of 16</w:t>
      </w:r>
      <w:r w:rsidRPr="003A6DBA">
        <w:t>%</w:t>
      </w:r>
      <w:r>
        <w:t xml:space="preserve"> over the 3 years to 2019/20, a standstill for subscription fees (with no inflation increases), the maintenance of current service expenditure levels and increases in income for chargeable services to Councils, and others, and from commercial rents and other sources to be developed via the commercial strategy.</w:t>
      </w:r>
    </w:p>
    <w:p w14:paraId="51778E4D" w14:textId="77777777" w:rsidR="00EC3F78" w:rsidRDefault="00EC3F78" w:rsidP="00EC3F78">
      <w:pPr>
        <w:pStyle w:val="ListParagraph"/>
        <w:numPr>
          <w:ilvl w:val="0"/>
          <w:numId w:val="0"/>
        </w:numPr>
        <w:ind w:left="360"/>
        <w:rPr>
          <w:rStyle w:val="ReportTemplate"/>
        </w:rPr>
      </w:pPr>
    </w:p>
    <w:p w14:paraId="098AC296" w14:textId="77777777" w:rsidR="00301B72" w:rsidRDefault="00301B72" w:rsidP="00C803F3">
      <w:pPr>
        <w:pStyle w:val="ListParagraph"/>
      </w:pPr>
      <w:r>
        <w:t xml:space="preserve">For 2018/19, we expect to use the </w:t>
      </w:r>
      <w:r w:rsidR="000E304B">
        <w:t>“Year 2”</w:t>
      </w:r>
      <w:r>
        <w:t xml:space="preserve"> Revenue Budget from the January 2017 Financial Strategy Paper as the basis/starting point, and review the underlying assumptions</w:t>
      </w:r>
      <w:r w:rsidR="000E304B">
        <w:t xml:space="preserve"> on all cost lines and for all cost centres </w:t>
      </w:r>
      <w:r>
        <w:t xml:space="preserve"> to identify risks and opportunities that need to be built into the new budget.</w:t>
      </w:r>
      <w:r w:rsidR="00F052C9">
        <w:t xml:space="preserve">  As a further step, it is proposed that a Medium Term financial Plan is also developed at the same time to extend the planning horizon and give Members a better view of upcoming issues, pinch points and opportunities.</w:t>
      </w:r>
    </w:p>
    <w:p w14:paraId="33AFA81A" w14:textId="77777777" w:rsidR="00EC3F78" w:rsidRDefault="00EC3F78" w:rsidP="00EC3F78">
      <w:pPr>
        <w:pStyle w:val="ListParagraph"/>
        <w:numPr>
          <w:ilvl w:val="0"/>
          <w:numId w:val="0"/>
        </w:numPr>
        <w:ind w:left="360"/>
      </w:pPr>
    </w:p>
    <w:p w14:paraId="2B579F47" w14:textId="77777777" w:rsidR="0060439A" w:rsidRDefault="0060439A" w:rsidP="00C803F3">
      <w:pPr>
        <w:pStyle w:val="ListParagraph"/>
      </w:pPr>
      <w:r>
        <w:lastRenderedPageBreak/>
        <w:t>We intend to formalise budget ownership within the organisation through the introduction of Budget Delegation letters.</w:t>
      </w:r>
    </w:p>
    <w:p w14:paraId="3FA84162" w14:textId="77777777" w:rsidR="00EC3F78" w:rsidRDefault="00EC3F78" w:rsidP="00EC3F78">
      <w:pPr>
        <w:pStyle w:val="ListParagraph"/>
        <w:numPr>
          <w:ilvl w:val="0"/>
          <w:numId w:val="0"/>
        </w:numPr>
        <w:ind w:left="360"/>
      </w:pPr>
    </w:p>
    <w:p w14:paraId="5B8635C4" w14:textId="77777777" w:rsidR="001079D9" w:rsidRDefault="00301B72" w:rsidP="00C803F3">
      <w:pPr>
        <w:pStyle w:val="ListParagraph"/>
        <w:rPr>
          <w:rStyle w:val="ReportTemplate"/>
        </w:rPr>
      </w:pPr>
      <w:r>
        <w:t>The remainder of this paper reviews the various elements of the Financial Strategy and how it might affect the 2018/19 budget process</w:t>
      </w:r>
      <w:r w:rsidR="001079D9">
        <w:t>.</w:t>
      </w:r>
    </w:p>
    <w:sdt>
      <w:sdtPr>
        <w:rPr>
          <w:rStyle w:val="Style6"/>
        </w:rPr>
        <w:alias w:val="Issues"/>
        <w:tag w:val="Issues"/>
        <w:id w:val="-1684430981"/>
        <w:placeholder>
          <w:docPart w:val="1444C70DB0544F7FA5791133FDBCBD91"/>
        </w:placeholder>
      </w:sdtPr>
      <w:sdtEndPr>
        <w:rPr>
          <w:rStyle w:val="Style6"/>
        </w:rPr>
      </w:sdtEndPr>
      <w:sdtContent>
        <w:p w14:paraId="46C98B47" w14:textId="77777777" w:rsidR="009B6F95" w:rsidRPr="00C803F3" w:rsidRDefault="009B6F95" w:rsidP="000F69FB">
          <w:pPr>
            <w:rPr>
              <w:rStyle w:val="ReportTemplate"/>
            </w:rPr>
          </w:pPr>
          <w:r w:rsidRPr="00C803F3">
            <w:rPr>
              <w:rStyle w:val="Style6"/>
            </w:rPr>
            <w:t>Issues</w:t>
          </w:r>
        </w:p>
      </w:sdtContent>
    </w:sdt>
    <w:p w14:paraId="27B3B8C5" w14:textId="18DB5A55" w:rsidR="00EC3F78" w:rsidRDefault="00301B72" w:rsidP="00EC3F78">
      <w:pPr>
        <w:pStyle w:val="ListParagraph"/>
      </w:pPr>
      <w:r>
        <w:t>Pensions Deficit Management:</w:t>
      </w:r>
    </w:p>
    <w:p w14:paraId="32253DB4" w14:textId="77777777" w:rsidR="00EC3F78" w:rsidRDefault="00EC3F78" w:rsidP="00EC3F78">
      <w:pPr>
        <w:pStyle w:val="ListParagraph"/>
        <w:numPr>
          <w:ilvl w:val="0"/>
          <w:numId w:val="0"/>
        </w:numPr>
        <w:ind w:left="360"/>
      </w:pPr>
    </w:p>
    <w:p w14:paraId="59BCFF86" w14:textId="02EFB2FF" w:rsidR="00EC3F78" w:rsidRDefault="00301B72" w:rsidP="00EC3F78">
      <w:pPr>
        <w:pStyle w:val="ListParagraph"/>
        <w:numPr>
          <w:ilvl w:val="1"/>
          <w:numId w:val="1"/>
        </w:numPr>
      </w:pPr>
      <w:r>
        <w:t>The proposed strategy for pension deficit management is to identify the optimal method of funding the LGPS pensions to LGA and IDeA staff.  During 2017/18 this has included a review of the potential benefits of transferring the administration of the IDeA fund from Camden to Merseyside management.</w:t>
      </w:r>
    </w:p>
    <w:p w14:paraId="40B29516" w14:textId="77777777" w:rsidR="00EC3F78" w:rsidRDefault="00EC3F78" w:rsidP="00EC3F78">
      <w:pPr>
        <w:pStyle w:val="ListParagraph"/>
        <w:numPr>
          <w:ilvl w:val="0"/>
          <w:numId w:val="0"/>
        </w:numPr>
        <w:ind w:left="792"/>
      </w:pPr>
    </w:p>
    <w:p w14:paraId="31164474" w14:textId="77777777" w:rsidR="00301B72" w:rsidRDefault="00301B72" w:rsidP="0060439A">
      <w:pPr>
        <w:pStyle w:val="ListParagraph"/>
        <w:numPr>
          <w:ilvl w:val="1"/>
          <w:numId w:val="1"/>
        </w:numPr>
      </w:pPr>
      <w:r>
        <w:t>The pension deficit estimates at 31 March 2017 since the last Triennial valuation at 31 March 2016 show an increase of £3.336 million for the LGA and for the IDeA of £26.904 million. The main causes were due to changes in the actuarial assumptions regarding discount rates, however on a like-for-like basis, the Merseyside fund significantly outperformed (in terms of investment return) the Camden fund.</w:t>
      </w:r>
    </w:p>
    <w:p w14:paraId="1E0E4C88" w14:textId="77777777" w:rsidR="00EC3F78" w:rsidRDefault="00EC3F78" w:rsidP="00EC3F78">
      <w:pPr>
        <w:pStyle w:val="ListParagraph"/>
        <w:numPr>
          <w:ilvl w:val="0"/>
          <w:numId w:val="0"/>
        </w:numPr>
        <w:ind w:left="360"/>
      </w:pPr>
    </w:p>
    <w:p w14:paraId="3E4CDD8D" w14:textId="77777777" w:rsidR="00301B72" w:rsidRDefault="00301B72" w:rsidP="0060439A">
      <w:pPr>
        <w:pStyle w:val="ListParagraph"/>
        <w:numPr>
          <w:ilvl w:val="1"/>
          <w:numId w:val="1"/>
        </w:numPr>
      </w:pPr>
      <w:r>
        <w:t xml:space="preserve">Indications received from Merseyside are that a transfer of the IDeA fund to them would deliver in the medium to long term lower annual payments. Based on current staffing levels this could </w:t>
      </w:r>
      <w:r w:rsidRPr="0060439A">
        <w:t>save</w:t>
      </w:r>
      <w:r>
        <w:t xml:space="preserve"> a net £0.5 million per annum in reduced employer contributions (with slightly higher initial pension deficit reduction payments), and deliver a NPV </w:t>
      </w:r>
      <w:r w:rsidRPr="0060439A">
        <w:t>saving</w:t>
      </w:r>
      <w:r>
        <w:t xml:space="preserve"> against the programmed deficit repayments over 17 years of around £5.3 million. </w:t>
      </w:r>
    </w:p>
    <w:p w14:paraId="446B3262" w14:textId="77777777" w:rsidR="00EC3F78" w:rsidRDefault="00EC3F78" w:rsidP="00EC3F78">
      <w:pPr>
        <w:pStyle w:val="ListParagraph"/>
        <w:numPr>
          <w:ilvl w:val="0"/>
          <w:numId w:val="0"/>
        </w:numPr>
        <w:ind w:left="360"/>
      </w:pPr>
    </w:p>
    <w:p w14:paraId="25DC2D2C" w14:textId="77777777" w:rsidR="00301B72" w:rsidRDefault="00301B72" w:rsidP="0060439A">
      <w:pPr>
        <w:pStyle w:val="ListParagraph"/>
        <w:numPr>
          <w:ilvl w:val="1"/>
          <w:numId w:val="1"/>
        </w:numPr>
      </w:pPr>
      <w:r>
        <w:t>To achieve this goal Merseyside required</w:t>
      </w:r>
      <w:r w:rsidRPr="00E818CA">
        <w:t xml:space="preserve"> that the fund remains open to new entrants and is backed by </w:t>
      </w:r>
      <w:r>
        <w:t>the LGA standing behind the pension deficit</w:t>
      </w:r>
      <w:r w:rsidRPr="00E818CA">
        <w:t>. This w</w:t>
      </w:r>
      <w:r>
        <w:t>as approved by</w:t>
      </w:r>
      <w:r w:rsidRPr="00E818CA">
        <w:t xml:space="preserve"> members at the General Assembly</w:t>
      </w:r>
      <w:r>
        <w:t xml:space="preserve"> in July 2017</w:t>
      </w:r>
      <w:r w:rsidRPr="00E818CA">
        <w:t xml:space="preserve">. </w:t>
      </w:r>
    </w:p>
    <w:p w14:paraId="58C61CE6" w14:textId="77777777" w:rsidR="00EC3F78" w:rsidRDefault="00EC3F78" w:rsidP="00EC3F78">
      <w:pPr>
        <w:pStyle w:val="ListParagraph"/>
        <w:numPr>
          <w:ilvl w:val="0"/>
          <w:numId w:val="0"/>
        </w:numPr>
        <w:ind w:left="360"/>
      </w:pPr>
    </w:p>
    <w:p w14:paraId="0ABDC2F6" w14:textId="77777777" w:rsidR="00301B72" w:rsidRDefault="00301B72" w:rsidP="00301B72">
      <w:pPr>
        <w:pStyle w:val="ListParagraph"/>
        <w:numPr>
          <w:ilvl w:val="1"/>
          <w:numId w:val="1"/>
        </w:numPr>
      </w:pPr>
      <w:r>
        <w:t xml:space="preserve">The process for resigning from the Camden Scheme and applying to the Merseyside Scheme is due to be undertaken shortly.  </w:t>
      </w:r>
      <w:r w:rsidRPr="00E818CA">
        <w:t xml:space="preserve">The </w:t>
      </w:r>
      <w:r>
        <w:t xml:space="preserve">proposed </w:t>
      </w:r>
      <w:r w:rsidRPr="00E818CA">
        <w:t xml:space="preserve">transfer </w:t>
      </w:r>
      <w:r>
        <w:t>is most</w:t>
      </w:r>
      <w:r w:rsidRPr="00E818CA">
        <w:t xml:space="preserve"> likely take place on 1 April 2018</w:t>
      </w:r>
      <w:r>
        <w:t>, however this may need to be pushed back if agreement cannot be reached in time</w:t>
      </w:r>
      <w:r w:rsidR="00F27F41">
        <w:t xml:space="preserve"> (probably to 1 April 2019 to align cleanly with the next financial year end and triennial valuation, but it may be possible to make the transfer mid-year)</w:t>
      </w:r>
      <w:r w:rsidRPr="00E818CA">
        <w:t>.</w:t>
      </w:r>
      <w:r w:rsidR="00CB215E">
        <w:t xml:space="preserve"> </w:t>
      </w:r>
    </w:p>
    <w:p w14:paraId="49C7B241" w14:textId="77777777" w:rsidR="00EC3F78" w:rsidRDefault="00EC3F78" w:rsidP="00EC3F78">
      <w:pPr>
        <w:pStyle w:val="ListParagraph"/>
        <w:numPr>
          <w:ilvl w:val="0"/>
          <w:numId w:val="0"/>
        </w:numPr>
        <w:ind w:left="360"/>
      </w:pPr>
    </w:p>
    <w:p w14:paraId="2CECFFE8" w14:textId="77777777" w:rsidR="00301B72" w:rsidRDefault="00301B72" w:rsidP="00301B72">
      <w:pPr>
        <w:pStyle w:val="ListParagraph"/>
        <w:numPr>
          <w:ilvl w:val="1"/>
          <w:numId w:val="1"/>
        </w:numPr>
      </w:pPr>
      <w:r>
        <w:t xml:space="preserve">Therefore the 2018/19 Budget for the LGPS Pension contributions will not be based on the estimates of the combined administration of the LGA and IDeA Schemes by Merseyside, as it is more prudent to budget on the more expensive existing scheme administration costs, with an associated opportunity identified if the transfer can be </w:t>
      </w:r>
      <w:r w:rsidR="00B46ECB">
        <w:t>undertaken in time</w:t>
      </w:r>
      <w:r>
        <w:t>.</w:t>
      </w:r>
      <w:r w:rsidR="00B46ECB">
        <w:t xml:space="preserve">  </w:t>
      </w:r>
    </w:p>
    <w:p w14:paraId="4B8D76BD" w14:textId="77777777" w:rsidR="00EC3F78" w:rsidRPr="00A627DD" w:rsidRDefault="00EC3F78" w:rsidP="00EC3F78">
      <w:pPr>
        <w:pStyle w:val="ListParagraph"/>
        <w:numPr>
          <w:ilvl w:val="0"/>
          <w:numId w:val="0"/>
        </w:numPr>
        <w:ind w:left="360"/>
        <w:rPr>
          <w:rStyle w:val="ReportTemplate"/>
        </w:rPr>
      </w:pPr>
    </w:p>
    <w:p w14:paraId="1B222506" w14:textId="0BA48607" w:rsidR="009B6F95" w:rsidRDefault="00B46ECB" w:rsidP="000F69FB">
      <w:pPr>
        <w:pStyle w:val="ListParagraph"/>
      </w:pPr>
      <w:r>
        <w:lastRenderedPageBreak/>
        <w:t>Property Asset Management</w:t>
      </w:r>
      <w:r w:rsidR="00EC3F78">
        <w:t>:</w:t>
      </w:r>
    </w:p>
    <w:p w14:paraId="41B677FC" w14:textId="77777777" w:rsidR="00EC3F78" w:rsidRDefault="00EC3F78" w:rsidP="00EC3F78">
      <w:pPr>
        <w:pStyle w:val="ListParagraph"/>
        <w:numPr>
          <w:ilvl w:val="0"/>
          <w:numId w:val="0"/>
        </w:numPr>
        <w:ind w:left="360"/>
      </w:pPr>
    </w:p>
    <w:p w14:paraId="07F3246F" w14:textId="77777777" w:rsidR="00B46ECB" w:rsidRDefault="00B46ECB" w:rsidP="00EC3F78">
      <w:pPr>
        <w:pStyle w:val="ListParagraph"/>
        <w:numPr>
          <w:ilvl w:val="1"/>
          <w:numId w:val="1"/>
        </w:numPr>
        <w:ind w:left="993" w:hanging="633"/>
      </w:pPr>
      <w:r>
        <w:t>The proposed strategy for property asset management is that:</w:t>
      </w:r>
    </w:p>
    <w:p w14:paraId="1025E1CB" w14:textId="77777777" w:rsidR="00EC3F78" w:rsidRDefault="00EC3F78" w:rsidP="00EC3F78">
      <w:pPr>
        <w:pStyle w:val="ListParagraph"/>
        <w:numPr>
          <w:ilvl w:val="0"/>
          <w:numId w:val="0"/>
        </w:numPr>
        <w:ind w:left="792"/>
      </w:pPr>
    </w:p>
    <w:p w14:paraId="15C97438" w14:textId="77777777" w:rsidR="00B46ECB" w:rsidRDefault="00B46ECB" w:rsidP="00EC3F78">
      <w:pPr>
        <w:pStyle w:val="ListParagraph"/>
        <w:numPr>
          <w:ilvl w:val="2"/>
          <w:numId w:val="1"/>
        </w:numPr>
        <w:ind w:left="1418" w:hanging="698"/>
      </w:pPr>
      <w:r>
        <w:t>Layden House should be retained</w:t>
      </w:r>
      <w:r w:rsidRPr="004B7E4A">
        <w:t xml:space="preserve"> as an investment property and </w:t>
      </w:r>
      <w:r>
        <w:t xml:space="preserve">with further </w:t>
      </w:r>
      <w:r w:rsidRPr="004B7E4A">
        <w:t>invest</w:t>
      </w:r>
      <w:r>
        <w:t>ment</w:t>
      </w:r>
      <w:r w:rsidRPr="004B7E4A">
        <w:t xml:space="preserve"> in its refurbishment, to increase both its capital and rental value</w:t>
      </w:r>
      <w:r>
        <w:t>;</w:t>
      </w:r>
      <w:r w:rsidRPr="004B7E4A">
        <w:t xml:space="preserve"> </w:t>
      </w:r>
      <w:r>
        <w:t xml:space="preserve">and </w:t>
      </w:r>
    </w:p>
    <w:p w14:paraId="1853DF72" w14:textId="77777777" w:rsidR="00EC3F78" w:rsidRDefault="00EC3F78" w:rsidP="00EC3F78">
      <w:pPr>
        <w:pStyle w:val="ListParagraph"/>
        <w:numPr>
          <w:ilvl w:val="0"/>
          <w:numId w:val="0"/>
        </w:numPr>
        <w:ind w:left="1418" w:hanging="698"/>
      </w:pPr>
    </w:p>
    <w:p w14:paraId="6C7C3D2A" w14:textId="77777777" w:rsidR="00B46ECB" w:rsidRDefault="00B46ECB" w:rsidP="00EC3F78">
      <w:pPr>
        <w:pStyle w:val="ListParagraph"/>
        <w:numPr>
          <w:ilvl w:val="2"/>
          <w:numId w:val="1"/>
        </w:numPr>
        <w:ind w:left="1418" w:hanging="698"/>
      </w:pPr>
      <w:r>
        <w:t xml:space="preserve">Local Government House should also be retained </w:t>
      </w:r>
      <w:r w:rsidRPr="00C02610">
        <w:t xml:space="preserve">with further </w:t>
      </w:r>
      <w:r>
        <w:t xml:space="preserve">refurbishment </w:t>
      </w:r>
      <w:r w:rsidRPr="00C02610">
        <w:t xml:space="preserve">investment to increase both its </w:t>
      </w:r>
      <w:r>
        <w:t>commercial income as well as its capital value.</w:t>
      </w:r>
    </w:p>
    <w:p w14:paraId="64AFE2D1" w14:textId="77777777" w:rsidR="00EC3F78" w:rsidRDefault="00EC3F78" w:rsidP="00EC3F78">
      <w:pPr>
        <w:pStyle w:val="ListParagraph"/>
        <w:numPr>
          <w:ilvl w:val="0"/>
          <w:numId w:val="0"/>
        </w:numPr>
        <w:ind w:left="360"/>
      </w:pPr>
    </w:p>
    <w:p w14:paraId="754376A1" w14:textId="77777777" w:rsidR="00B46ECB" w:rsidRDefault="00B46ECB" w:rsidP="00EC3F78">
      <w:pPr>
        <w:pStyle w:val="ListParagraph"/>
        <w:numPr>
          <w:ilvl w:val="1"/>
          <w:numId w:val="1"/>
        </w:numPr>
        <w:ind w:left="993" w:hanging="633"/>
      </w:pPr>
      <w:r>
        <w:t>Work on Local Government House (now renamed 18 Smith Square to make it more marketable as a multi-tenant building and conference venue) is almost complete with re-occupation expected on 29 October 2017.  We are currently in commercial negotiation with a potential tenant for one of the three tenanted floors, so it is hoped that the “void” period for the building is fairly limited.</w:t>
      </w:r>
    </w:p>
    <w:p w14:paraId="346D69D2" w14:textId="77777777" w:rsidR="00EC3F78" w:rsidRDefault="00EC3F78" w:rsidP="00EC3F78">
      <w:pPr>
        <w:pStyle w:val="ListParagraph"/>
        <w:numPr>
          <w:ilvl w:val="0"/>
          <w:numId w:val="0"/>
        </w:numPr>
        <w:ind w:left="792"/>
      </w:pPr>
    </w:p>
    <w:p w14:paraId="382B00CA" w14:textId="77777777" w:rsidR="00B46ECB" w:rsidRDefault="00B46ECB" w:rsidP="00EC3F78">
      <w:pPr>
        <w:pStyle w:val="ListParagraph"/>
        <w:numPr>
          <w:ilvl w:val="1"/>
          <w:numId w:val="1"/>
        </w:numPr>
        <w:ind w:left="993" w:hanging="633"/>
      </w:pPr>
      <w:r>
        <w:t>The development work on Layden House is due to commence in November 2017, with the plan to have the work completed and commercial tenants in place by January 2019.  We are in the process of procuring a main contractor for the works.</w:t>
      </w:r>
    </w:p>
    <w:p w14:paraId="64817DF2" w14:textId="77777777" w:rsidR="00EC3F78" w:rsidRDefault="00EC3F78" w:rsidP="00EC3F78">
      <w:pPr>
        <w:pStyle w:val="ListParagraph"/>
        <w:numPr>
          <w:ilvl w:val="0"/>
          <w:numId w:val="0"/>
        </w:numPr>
        <w:ind w:left="360"/>
      </w:pPr>
    </w:p>
    <w:p w14:paraId="64CA1A6D" w14:textId="77777777" w:rsidR="00B46ECB" w:rsidRDefault="00B46ECB" w:rsidP="00EC3F78">
      <w:pPr>
        <w:pStyle w:val="ListParagraph"/>
        <w:numPr>
          <w:ilvl w:val="1"/>
          <w:numId w:val="1"/>
        </w:numPr>
        <w:ind w:left="993" w:hanging="633"/>
      </w:pPr>
      <w:r>
        <w:t>The above development projects should deliver a net improvement in the LGA Group’s Balance Sheet to help offset the estimated pension deficit liabilities, such that the LGA Group Balance Sheet should show a Net Asset position (from the current Net Liability position at 31 March 2017) by the end of 2019/20.</w:t>
      </w:r>
    </w:p>
    <w:p w14:paraId="4B6DA39B" w14:textId="77777777" w:rsidR="00EC3F78" w:rsidRDefault="00EC3F78" w:rsidP="00EC3F78">
      <w:pPr>
        <w:pStyle w:val="ListParagraph"/>
        <w:numPr>
          <w:ilvl w:val="0"/>
          <w:numId w:val="0"/>
        </w:numPr>
        <w:ind w:left="360"/>
      </w:pPr>
    </w:p>
    <w:p w14:paraId="3864A7A8" w14:textId="77777777" w:rsidR="00B46ECB" w:rsidRDefault="00B46ECB" w:rsidP="00EC3F78">
      <w:pPr>
        <w:pStyle w:val="ListParagraph"/>
        <w:numPr>
          <w:ilvl w:val="1"/>
          <w:numId w:val="1"/>
        </w:numPr>
        <w:ind w:left="993" w:hanging="633"/>
      </w:pPr>
      <w:r>
        <w:t>Based on the most recent estimated post development valuations of the properties (as at 31 March 2017), the forecast is that the individual Group Company Balance Sheets would be improved by £25 million (at a consolidated Group Level, the increase will not be immediately recognised, as under accounting rules Local Government House is partially valued at cost, rather than at investment value, to reflect that it is used by the LGA rather than exclusively by 3</w:t>
      </w:r>
      <w:r w:rsidRPr="00B46ECB">
        <w:t>rd</w:t>
      </w:r>
      <w:r>
        <w:t xml:space="preserve"> parties). </w:t>
      </w:r>
      <w:r w:rsidRPr="00777005">
        <w:t xml:space="preserve">In the short term this improvement </w:t>
      </w:r>
      <w:r>
        <w:t xml:space="preserve">will </w:t>
      </w:r>
      <w:r w:rsidRPr="00777005">
        <w:t xml:space="preserve">be reduced by additional borrowing to cover working capital and rent free periods, but it will be offset by the significantly increased </w:t>
      </w:r>
      <w:r>
        <w:t xml:space="preserve">net </w:t>
      </w:r>
      <w:r w:rsidRPr="00777005">
        <w:t xml:space="preserve">rental income </w:t>
      </w:r>
      <w:r>
        <w:t xml:space="preserve">(&gt;£3.5 million per annum across both properties) </w:t>
      </w:r>
      <w:r w:rsidRPr="00777005">
        <w:t>in future years.</w:t>
      </w:r>
    </w:p>
    <w:p w14:paraId="71C2974F" w14:textId="77777777" w:rsidR="00EC3F78" w:rsidRDefault="00EC3F78" w:rsidP="00EC3F78">
      <w:pPr>
        <w:pStyle w:val="ListParagraph"/>
        <w:numPr>
          <w:ilvl w:val="0"/>
          <w:numId w:val="0"/>
        </w:numPr>
        <w:ind w:left="360"/>
      </w:pPr>
    </w:p>
    <w:p w14:paraId="0880ACA1" w14:textId="77777777" w:rsidR="00B46ECB" w:rsidRDefault="00B46ECB" w:rsidP="00EC3F78">
      <w:pPr>
        <w:pStyle w:val="ListParagraph"/>
        <w:numPr>
          <w:ilvl w:val="1"/>
          <w:numId w:val="1"/>
        </w:numPr>
        <w:ind w:left="993" w:hanging="633"/>
      </w:pPr>
      <w:r>
        <w:t>Commissioned work indicates that the most tax efficient structure for the LGA Group is for the LGA to become an incorporated body, to which the investment properties are transferred, such that the related future net income and expenditure activity in the group is Corporation Tax</w:t>
      </w:r>
      <w:r w:rsidR="00F27F41">
        <w:t xml:space="preserve"> efficient</w:t>
      </w:r>
      <w:r>
        <w:t xml:space="preserve">. </w:t>
      </w:r>
    </w:p>
    <w:p w14:paraId="031DF798" w14:textId="77777777" w:rsidR="00EC3F78" w:rsidRDefault="00EC3F78" w:rsidP="00EC3F78">
      <w:pPr>
        <w:pStyle w:val="ListParagraph"/>
        <w:numPr>
          <w:ilvl w:val="0"/>
          <w:numId w:val="0"/>
        </w:numPr>
        <w:ind w:left="360"/>
      </w:pPr>
    </w:p>
    <w:p w14:paraId="4B6B52BC" w14:textId="77777777" w:rsidR="00B46ECB" w:rsidRDefault="00B46ECB" w:rsidP="00EC3F78">
      <w:pPr>
        <w:pStyle w:val="ListParagraph"/>
        <w:numPr>
          <w:ilvl w:val="1"/>
          <w:numId w:val="1"/>
        </w:numPr>
        <w:ind w:left="993" w:hanging="633"/>
      </w:pPr>
      <w:r>
        <w:t xml:space="preserve">The General Assembly approved the plan to incorporate the LGA (as an unlimited company) in July 2017.  Work is underway to create an incorporated body and </w:t>
      </w:r>
      <w:r>
        <w:lastRenderedPageBreak/>
        <w:t>transfer members from the current Association to the new unlimited company (to be clear, there is no change in Members’ exposure to liabilities and ability to share in assets between the new and old corporate structures).  The timetable for the transfer of assets has not yet been set, but is likely to be from 1 April 2019 at the earliest.</w:t>
      </w:r>
    </w:p>
    <w:p w14:paraId="35988ECA" w14:textId="77777777" w:rsidR="00EC3F78" w:rsidRDefault="00EC3F78" w:rsidP="00EC3F78">
      <w:pPr>
        <w:pStyle w:val="ListParagraph"/>
        <w:numPr>
          <w:ilvl w:val="0"/>
          <w:numId w:val="0"/>
        </w:numPr>
        <w:ind w:left="360"/>
      </w:pPr>
    </w:p>
    <w:p w14:paraId="6F51E39D" w14:textId="77777777" w:rsidR="00B46ECB" w:rsidRDefault="00B46ECB" w:rsidP="00EC3F78">
      <w:pPr>
        <w:pStyle w:val="ListParagraph"/>
        <w:numPr>
          <w:ilvl w:val="1"/>
          <w:numId w:val="1"/>
        </w:numPr>
        <w:ind w:left="993" w:hanging="633"/>
      </w:pPr>
      <w:r>
        <w:t xml:space="preserve">Therefore for 2018/19 it is expected that the two property companies will still be in existence for the entire year, and will be budgeted for separately.  </w:t>
      </w:r>
    </w:p>
    <w:p w14:paraId="09396121" w14:textId="77777777" w:rsidR="00EC3F78" w:rsidRDefault="00EC3F78" w:rsidP="00EC3F78">
      <w:pPr>
        <w:pStyle w:val="ListParagraph"/>
        <w:numPr>
          <w:ilvl w:val="0"/>
          <w:numId w:val="0"/>
        </w:numPr>
        <w:ind w:left="360"/>
      </w:pPr>
    </w:p>
    <w:p w14:paraId="2DE12D3F" w14:textId="16B4C4E3" w:rsidR="00EC3F78" w:rsidRDefault="00B46ECB" w:rsidP="00EC3F78">
      <w:pPr>
        <w:pStyle w:val="ListParagraph"/>
        <w:numPr>
          <w:ilvl w:val="2"/>
          <w:numId w:val="1"/>
        </w:numPr>
        <w:ind w:left="1560" w:hanging="840"/>
      </w:pPr>
      <w:r>
        <w:t>Rental income for 18 Smith Square will be accounted for in line with expert advice from our letting agents (please note that while there may be rent-free pe</w:t>
      </w:r>
      <w:r w:rsidR="0071033C">
        <w:t>r</w:t>
      </w:r>
      <w:r>
        <w:t>iods such that cash inflow is £nil for several months, under accounting conventions rental income is spread evenly over the entire period of the lease, so that some income will be recognised in the current year); and</w:t>
      </w:r>
    </w:p>
    <w:p w14:paraId="2FF20126" w14:textId="77777777" w:rsidR="00EC3F78" w:rsidRDefault="00EC3F78" w:rsidP="00EC3F78">
      <w:pPr>
        <w:pStyle w:val="ListParagraph"/>
        <w:numPr>
          <w:ilvl w:val="0"/>
          <w:numId w:val="0"/>
        </w:numPr>
        <w:ind w:left="1560" w:hanging="840"/>
      </w:pPr>
    </w:p>
    <w:p w14:paraId="1C5B5B14" w14:textId="77777777" w:rsidR="00B46ECB" w:rsidRDefault="00B46ECB" w:rsidP="00EC3F78">
      <w:pPr>
        <w:pStyle w:val="ListParagraph"/>
        <w:numPr>
          <w:ilvl w:val="2"/>
          <w:numId w:val="1"/>
        </w:numPr>
        <w:ind w:left="1560" w:hanging="840"/>
      </w:pPr>
      <w:r>
        <w:t>Likewise for Layden House, with leases expected to be available from January 2019, there will be a small budget for rental income for the final quarter of the year (again – on an accounting rather than cash basis).</w:t>
      </w:r>
    </w:p>
    <w:p w14:paraId="7222C99F" w14:textId="77777777" w:rsidR="00EC3F78" w:rsidRDefault="00EC3F78" w:rsidP="00EC3F78">
      <w:pPr>
        <w:pStyle w:val="ListParagraph"/>
        <w:numPr>
          <w:ilvl w:val="0"/>
          <w:numId w:val="0"/>
        </w:numPr>
        <w:ind w:left="360"/>
        <w:rPr>
          <w:rStyle w:val="ReportTemplate"/>
        </w:rPr>
      </w:pPr>
    </w:p>
    <w:p w14:paraId="77C1D8BE" w14:textId="77777777" w:rsidR="009B6F95" w:rsidRPr="00EC3F78" w:rsidRDefault="000E304B" w:rsidP="00301A51">
      <w:pPr>
        <w:pStyle w:val="ListParagraph"/>
        <w:rPr>
          <w:rStyle w:val="CommentSubjectChar"/>
          <w:rFonts w:eastAsiaTheme="minorHAnsi" w:cstheme="minorBidi"/>
          <w:b w:val="0"/>
          <w:bCs w:val="0"/>
          <w:sz w:val="22"/>
          <w:szCs w:val="22"/>
          <w:lang w:eastAsia="en-US"/>
        </w:rPr>
      </w:pPr>
      <w:r>
        <w:t>Treasury Management</w:t>
      </w:r>
      <w:r>
        <w:rPr>
          <w:rStyle w:val="CommentSubjectChar"/>
          <w:rFonts w:eastAsiaTheme="minorHAnsi"/>
        </w:rPr>
        <w:t>:</w:t>
      </w:r>
    </w:p>
    <w:p w14:paraId="4DF61C7A" w14:textId="77777777" w:rsidR="00EC3F78" w:rsidRPr="000E304B" w:rsidRDefault="00EC3F78" w:rsidP="00EC3F78">
      <w:pPr>
        <w:pStyle w:val="ListParagraph"/>
        <w:numPr>
          <w:ilvl w:val="0"/>
          <w:numId w:val="0"/>
        </w:numPr>
        <w:ind w:left="360"/>
        <w:rPr>
          <w:rStyle w:val="CommentSubjectChar"/>
          <w:rFonts w:eastAsiaTheme="minorHAnsi" w:cstheme="minorBidi"/>
          <w:b w:val="0"/>
          <w:bCs w:val="0"/>
          <w:sz w:val="22"/>
          <w:szCs w:val="22"/>
          <w:lang w:eastAsia="en-US"/>
        </w:rPr>
      </w:pPr>
    </w:p>
    <w:p w14:paraId="62A4DFFE" w14:textId="75AF5008" w:rsidR="000E304B" w:rsidRPr="00EC3F78" w:rsidRDefault="000E304B" w:rsidP="00EC3F78">
      <w:pPr>
        <w:pStyle w:val="ListParagraph"/>
        <w:numPr>
          <w:ilvl w:val="1"/>
          <w:numId w:val="1"/>
        </w:numPr>
        <w:ind w:left="993" w:hanging="633"/>
      </w:pPr>
      <w:r w:rsidRPr="008660EB">
        <w:rPr>
          <w:rFonts w:cs="Arial"/>
        </w:rPr>
        <w:t xml:space="preserve">The proposed </w:t>
      </w:r>
      <w:r>
        <w:rPr>
          <w:rFonts w:cs="Arial"/>
        </w:rPr>
        <w:t>strategy</w:t>
      </w:r>
      <w:r w:rsidRPr="008660EB">
        <w:rPr>
          <w:rFonts w:cs="Arial"/>
        </w:rPr>
        <w:t xml:space="preserve"> for Treasury Management </w:t>
      </w:r>
      <w:r>
        <w:rPr>
          <w:rFonts w:cs="Arial"/>
        </w:rPr>
        <w:t>is</w:t>
      </w:r>
      <w:r w:rsidRPr="008660EB">
        <w:rPr>
          <w:rFonts w:cs="Arial"/>
        </w:rPr>
        <w:t xml:space="preserve"> that</w:t>
      </w:r>
      <w:r w:rsidR="00EC3F78">
        <w:rPr>
          <w:rFonts w:cs="Arial"/>
        </w:rPr>
        <w:t>:</w:t>
      </w:r>
    </w:p>
    <w:p w14:paraId="619E2955" w14:textId="77777777" w:rsidR="00EC3F78" w:rsidRPr="000E304B" w:rsidRDefault="00EC3F78" w:rsidP="00EC3F78">
      <w:pPr>
        <w:pStyle w:val="ListParagraph"/>
        <w:numPr>
          <w:ilvl w:val="0"/>
          <w:numId w:val="0"/>
        </w:numPr>
        <w:ind w:left="792"/>
      </w:pPr>
    </w:p>
    <w:p w14:paraId="6A31ED8F" w14:textId="77777777" w:rsidR="000E304B" w:rsidRDefault="000E304B" w:rsidP="00EC3F78">
      <w:pPr>
        <w:pStyle w:val="ListParagraph"/>
        <w:numPr>
          <w:ilvl w:val="2"/>
          <w:numId w:val="1"/>
        </w:numPr>
        <w:ind w:left="1560" w:hanging="840"/>
      </w:pPr>
      <w:r w:rsidRPr="0060439A">
        <w:t xml:space="preserve">Refurbishment of Layden House and Local Government House is via additional loan funding obtained from the LGA and IDeA of £15m and from external loan funding of £20m (to be provided by Westminster City Council, </w:t>
      </w:r>
      <w:r w:rsidR="00CD3401">
        <w:t>wit</w:t>
      </w:r>
      <w:r w:rsidR="00350228">
        <w:t>h the intention that it is backed</w:t>
      </w:r>
      <w:r w:rsidR="00CD3401">
        <w:t xml:space="preserve"> by the first bond </w:t>
      </w:r>
      <w:r w:rsidRPr="0060439A">
        <w:t xml:space="preserve"> issued by the Municipal Bonds Agency); and  </w:t>
      </w:r>
    </w:p>
    <w:p w14:paraId="0BA48769" w14:textId="77777777" w:rsidR="00EC3F78" w:rsidRPr="0060439A" w:rsidRDefault="00EC3F78" w:rsidP="00EC3F78">
      <w:pPr>
        <w:pStyle w:val="ListParagraph"/>
        <w:numPr>
          <w:ilvl w:val="0"/>
          <w:numId w:val="0"/>
        </w:numPr>
        <w:ind w:left="1224"/>
      </w:pPr>
    </w:p>
    <w:p w14:paraId="1873826F" w14:textId="77777777" w:rsidR="000E304B" w:rsidRPr="00EC3F78" w:rsidRDefault="000E304B" w:rsidP="00EC3F78">
      <w:pPr>
        <w:pStyle w:val="ListParagraph"/>
        <w:numPr>
          <w:ilvl w:val="2"/>
          <w:numId w:val="1"/>
        </w:numPr>
        <w:ind w:left="1560" w:hanging="840"/>
      </w:pPr>
      <w:r w:rsidRPr="008660EB">
        <w:rPr>
          <w:rFonts w:cs="Arial"/>
        </w:rPr>
        <w:t>Group balances are maintained at minimum level of £5m to provide a level of contingency should cash flows fluctuate from expected levels</w:t>
      </w:r>
      <w:r>
        <w:rPr>
          <w:rFonts w:cs="Arial"/>
        </w:rPr>
        <w:t>.</w:t>
      </w:r>
    </w:p>
    <w:p w14:paraId="41EB7F57" w14:textId="77777777" w:rsidR="00EC3F78" w:rsidRDefault="00EC3F78" w:rsidP="00EC3F78">
      <w:pPr>
        <w:pStyle w:val="ListParagraph"/>
        <w:numPr>
          <w:ilvl w:val="0"/>
          <w:numId w:val="0"/>
        </w:numPr>
        <w:ind w:left="360"/>
        <w:rPr>
          <w:rStyle w:val="ReportTemplate"/>
        </w:rPr>
      </w:pPr>
    </w:p>
    <w:p w14:paraId="225F9CFD" w14:textId="77777777" w:rsidR="00B46ECB" w:rsidRDefault="000E304B" w:rsidP="00EC3F78">
      <w:pPr>
        <w:pStyle w:val="ListParagraph"/>
        <w:numPr>
          <w:ilvl w:val="1"/>
          <w:numId w:val="1"/>
        </w:numPr>
        <w:ind w:left="993" w:hanging="633"/>
        <w:rPr>
          <w:rStyle w:val="ReportTemplate"/>
        </w:rPr>
      </w:pPr>
      <w:r>
        <w:rPr>
          <w:rStyle w:val="ReportTemplate"/>
        </w:rPr>
        <w:t>The expected interest payments based on the latest position of the internal and external funding will be built into the 2018/19 budget.</w:t>
      </w:r>
    </w:p>
    <w:p w14:paraId="7297E553" w14:textId="77777777" w:rsidR="00EC3F78" w:rsidRDefault="00EC3F78" w:rsidP="00EC3F78">
      <w:pPr>
        <w:pStyle w:val="ListParagraph"/>
        <w:numPr>
          <w:ilvl w:val="0"/>
          <w:numId w:val="0"/>
        </w:numPr>
        <w:ind w:left="792"/>
        <w:rPr>
          <w:rStyle w:val="ReportTemplate"/>
        </w:rPr>
      </w:pPr>
    </w:p>
    <w:p w14:paraId="49166662" w14:textId="77777777" w:rsidR="000E304B" w:rsidRDefault="000E304B" w:rsidP="00301A51">
      <w:pPr>
        <w:pStyle w:val="ListParagraph"/>
      </w:pPr>
      <w:r>
        <w:t>Commercial Income Development:</w:t>
      </w:r>
    </w:p>
    <w:p w14:paraId="4845A673" w14:textId="77777777" w:rsidR="00EC3F78" w:rsidRDefault="00EC3F78" w:rsidP="00EC3F78">
      <w:pPr>
        <w:pStyle w:val="ListParagraph"/>
        <w:numPr>
          <w:ilvl w:val="0"/>
          <w:numId w:val="0"/>
        </w:numPr>
        <w:ind w:left="360"/>
      </w:pPr>
    </w:p>
    <w:p w14:paraId="7B629A96" w14:textId="77777777" w:rsidR="000E304B" w:rsidRDefault="000E304B" w:rsidP="00EC3F78">
      <w:pPr>
        <w:pStyle w:val="ListParagraph"/>
        <w:numPr>
          <w:ilvl w:val="1"/>
          <w:numId w:val="1"/>
        </w:numPr>
        <w:ind w:left="993" w:hanging="633"/>
      </w:pPr>
      <w:r>
        <w:t>The commercial strategy of the LGA is based on generating additional income from the following four main directions of business development:</w:t>
      </w:r>
    </w:p>
    <w:p w14:paraId="330F6903" w14:textId="77777777" w:rsidR="00EC3F78" w:rsidRDefault="00EC3F78" w:rsidP="00EC3F78">
      <w:pPr>
        <w:pStyle w:val="ListParagraph"/>
        <w:numPr>
          <w:ilvl w:val="0"/>
          <w:numId w:val="0"/>
        </w:numPr>
        <w:ind w:left="792"/>
      </w:pPr>
    </w:p>
    <w:p w14:paraId="10D1564B" w14:textId="77777777" w:rsidR="000E304B" w:rsidRDefault="000E304B" w:rsidP="00EC3F78">
      <w:pPr>
        <w:pStyle w:val="ListParagraph"/>
        <w:numPr>
          <w:ilvl w:val="2"/>
          <w:numId w:val="1"/>
        </w:numPr>
        <w:ind w:left="1560" w:hanging="840"/>
      </w:pPr>
      <w:r w:rsidRPr="000E304B">
        <w:rPr>
          <w:rStyle w:val="CommentSubjectChar"/>
          <w:rFonts w:eastAsiaTheme="minorHAnsi"/>
        </w:rPr>
        <w:t xml:space="preserve"> </w:t>
      </w:r>
      <w:r>
        <w:t>Reviewing all existing business processes so as to explore any opportunities where services could benefit from taking a different approach;</w:t>
      </w:r>
    </w:p>
    <w:p w14:paraId="713C6CC2" w14:textId="77777777" w:rsidR="00EC3F78" w:rsidRDefault="00EC3F78" w:rsidP="00EC3F78">
      <w:pPr>
        <w:pStyle w:val="ListParagraph"/>
        <w:numPr>
          <w:ilvl w:val="0"/>
          <w:numId w:val="0"/>
        </w:numPr>
        <w:ind w:left="1224"/>
      </w:pPr>
    </w:p>
    <w:p w14:paraId="49E84101" w14:textId="77777777" w:rsidR="000E304B" w:rsidRDefault="000E304B" w:rsidP="00EC3F78">
      <w:pPr>
        <w:pStyle w:val="ListParagraph"/>
        <w:numPr>
          <w:ilvl w:val="2"/>
          <w:numId w:val="1"/>
        </w:numPr>
        <w:ind w:left="1560" w:hanging="840"/>
      </w:pPr>
      <w:r>
        <w:lastRenderedPageBreak/>
        <w:t>Exploring potential opportunities for expanding the existing services through access to a greater number of customers within the current market and/or for opening new markets for existing services;</w:t>
      </w:r>
    </w:p>
    <w:p w14:paraId="0640BAAA" w14:textId="77777777" w:rsidR="00EC3F78" w:rsidRDefault="00EC3F78" w:rsidP="00EC3F78">
      <w:pPr>
        <w:pStyle w:val="ListParagraph"/>
        <w:numPr>
          <w:ilvl w:val="0"/>
          <w:numId w:val="0"/>
        </w:numPr>
        <w:ind w:left="360"/>
      </w:pPr>
    </w:p>
    <w:p w14:paraId="6E12A152" w14:textId="77777777" w:rsidR="000E304B" w:rsidRDefault="000E304B" w:rsidP="00EC3F78">
      <w:pPr>
        <w:pStyle w:val="ListParagraph"/>
        <w:numPr>
          <w:ilvl w:val="2"/>
          <w:numId w:val="1"/>
        </w:numPr>
        <w:ind w:left="1560" w:hanging="840"/>
      </w:pPr>
      <w:r>
        <w:t>Developing new areas of business; and</w:t>
      </w:r>
    </w:p>
    <w:p w14:paraId="3625320F" w14:textId="77777777" w:rsidR="00EC3F78" w:rsidRDefault="00EC3F78" w:rsidP="00EC3F78">
      <w:pPr>
        <w:pStyle w:val="ListParagraph"/>
        <w:numPr>
          <w:ilvl w:val="0"/>
          <w:numId w:val="0"/>
        </w:numPr>
        <w:ind w:left="1224"/>
      </w:pPr>
    </w:p>
    <w:p w14:paraId="5BC3BE73" w14:textId="77777777" w:rsidR="00B46ECB" w:rsidRDefault="000E304B" w:rsidP="00EC3F78">
      <w:pPr>
        <w:pStyle w:val="ListParagraph"/>
        <w:numPr>
          <w:ilvl w:val="2"/>
          <w:numId w:val="1"/>
        </w:numPr>
        <w:ind w:left="1560" w:hanging="840"/>
      </w:pPr>
      <w:r>
        <w:t>Exploring opportunities for attracting big projects and innovative partnerships to the organisation.</w:t>
      </w:r>
    </w:p>
    <w:p w14:paraId="4BFE2C5C" w14:textId="77777777" w:rsidR="00EC3F78" w:rsidRDefault="00EC3F78" w:rsidP="00EC3F78">
      <w:pPr>
        <w:pStyle w:val="ListParagraph"/>
        <w:numPr>
          <w:ilvl w:val="0"/>
          <w:numId w:val="0"/>
        </w:numPr>
        <w:ind w:left="360"/>
        <w:rPr>
          <w:rStyle w:val="ReportTemplate"/>
        </w:rPr>
      </w:pPr>
    </w:p>
    <w:p w14:paraId="7F6E1EC3" w14:textId="77777777" w:rsidR="0060439A" w:rsidRDefault="00422676" w:rsidP="00EC3F78">
      <w:pPr>
        <w:pStyle w:val="ListParagraph"/>
        <w:numPr>
          <w:ilvl w:val="1"/>
          <w:numId w:val="1"/>
        </w:numPr>
        <w:ind w:left="993" w:hanging="633"/>
      </w:pPr>
      <w:r>
        <w:t>The targets for increased income will be reviewed in the light of planned levels of commercial and grant funded activity including any estima</w:t>
      </w:r>
      <w:r w:rsidR="00D46408">
        <w:t>tes of dividends from investments in</w:t>
      </w:r>
      <w:r>
        <w:t xml:space="preserve"> joint ventures.</w:t>
      </w:r>
      <w:r w:rsidDel="00422676">
        <w:t xml:space="preserve"> </w:t>
      </w:r>
      <w:r w:rsidR="000E304B">
        <w:t xml:space="preserve"> </w:t>
      </w:r>
    </w:p>
    <w:p w14:paraId="1BDC760F" w14:textId="77777777" w:rsidR="00EC3F78" w:rsidRDefault="00EC3F78" w:rsidP="00EC3F78">
      <w:pPr>
        <w:pStyle w:val="ListParagraph"/>
        <w:numPr>
          <w:ilvl w:val="0"/>
          <w:numId w:val="0"/>
        </w:numPr>
        <w:ind w:left="792"/>
      </w:pPr>
    </w:p>
    <w:p w14:paraId="3E9F08A4" w14:textId="77777777" w:rsidR="00B46ECB" w:rsidRDefault="0060439A" w:rsidP="00EC3F78">
      <w:pPr>
        <w:pStyle w:val="ListParagraph"/>
        <w:numPr>
          <w:ilvl w:val="1"/>
          <w:numId w:val="1"/>
        </w:numPr>
        <w:ind w:left="993" w:hanging="633"/>
      </w:pPr>
      <w:r>
        <w:t>The development of the proposed Joint Venture (JV) for the Insurance Mutual has resulted in the incorporation of a separate group company - “LGA Commercial Services Ltd” – to manage our new commercial activities.  The 2018/19 Budget will include the commercial income targets in this vehicle, rather than the LGA, and will include the latest estimates of the expected revenues and costs of the JV.</w:t>
      </w:r>
    </w:p>
    <w:p w14:paraId="73A9D3EB" w14:textId="77777777" w:rsidR="00EC3F78" w:rsidRDefault="00EC3F78" w:rsidP="00EC3F78">
      <w:pPr>
        <w:pStyle w:val="ListParagraph"/>
        <w:numPr>
          <w:ilvl w:val="0"/>
          <w:numId w:val="0"/>
        </w:numPr>
        <w:ind w:left="360"/>
        <w:rPr>
          <w:rStyle w:val="ReportTemplate"/>
        </w:rPr>
      </w:pPr>
    </w:p>
    <w:p w14:paraId="761B4155" w14:textId="77777777" w:rsidR="00B46ECB" w:rsidRDefault="00BB3BEA" w:rsidP="00301A51">
      <w:pPr>
        <w:pStyle w:val="ListParagraph"/>
        <w:rPr>
          <w:rStyle w:val="ReportTemplate"/>
        </w:rPr>
      </w:pPr>
      <w:r>
        <w:rPr>
          <w:rStyle w:val="ReportTemplate"/>
        </w:rPr>
        <w:t>Revenue Budget:</w:t>
      </w:r>
    </w:p>
    <w:p w14:paraId="5E21BC96" w14:textId="77777777" w:rsidR="00EC3F78" w:rsidRDefault="00EC3F78" w:rsidP="00EC3F78">
      <w:pPr>
        <w:pStyle w:val="ListParagraph"/>
        <w:numPr>
          <w:ilvl w:val="0"/>
          <w:numId w:val="0"/>
        </w:numPr>
        <w:ind w:left="360"/>
        <w:rPr>
          <w:rStyle w:val="ReportTemplate"/>
        </w:rPr>
      </w:pPr>
    </w:p>
    <w:p w14:paraId="0EA65E35" w14:textId="77777777" w:rsidR="0060439A" w:rsidRDefault="00BB3BEA" w:rsidP="00EC3F78">
      <w:pPr>
        <w:pStyle w:val="ListParagraph"/>
        <w:numPr>
          <w:ilvl w:val="1"/>
          <w:numId w:val="1"/>
        </w:numPr>
        <w:ind w:left="993" w:hanging="633"/>
      </w:pPr>
      <w:r>
        <w:t>Over the three year period from 2017/18 to 2019/20 the January 2017 paper recommended that current strategy continues for the 2 property companies and the 2 service delivery entities (LGA and IDEA) remained the same - the strategy for the property companies should develop the assets to provide capital growth to offset the liabilities arising from our pension funds, as well as reducing costs and / or delivering additional commercial income to maximise the level of support we deliver to our members.</w:t>
      </w:r>
    </w:p>
    <w:p w14:paraId="4F4CA38D" w14:textId="77777777" w:rsidR="00EC3F78" w:rsidRDefault="00EC3F78" w:rsidP="00EC3F78">
      <w:pPr>
        <w:pStyle w:val="ListParagraph"/>
        <w:numPr>
          <w:ilvl w:val="0"/>
          <w:numId w:val="0"/>
        </w:numPr>
        <w:ind w:left="792"/>
      </w:pPr>
    </w:p>
    <w:p w14:paraId="1F78C257" w14:textId="77777777" w:rsidR="00BB3BEA" w:rsidRDefault="00BB3BEA" w:rsidP="00EC3F78">
      <w:pPr>
        <w:pStyle w:val="ListParagraph"/>
        <w:numPr>
          <w:ilvl w:val="1"/>
          <w:numId w:val="1"/>
        </w:numPr>
        <w:ind w:left="993" w:hanging="633"/>
      </w:pPr>
      <w:r>
        <w:t>There is no suggestion that this overarching financial strategy be changed for 2018/19.</w:t>
      </w:r>
      <w:r w:rsidR="00103C35">
        <w:t xml:space="preserve">  </w:t>
      </w:r>
      <w:r w:rsidR="00103C35" w:rsidRPr="00EC3F78">
        <w:rPr>
          <w:b/>
          <w:u w:val="single"/>
        </w:rPr>
        <w:t>Appendix A</w:t>
      </w:r>
      <w:r w:rsidR="00103C35">
        <w:t xml:space="preserve"> sets out the proposed starting point for the 2018/19 Budget (highlighted in Yellow).</w:t>
      </w:r>
    </w:p>
    <w:p w14:paraId="4A2B48FD" w14:textId="77777777" w:rsidR="00EC3F78" w:rsidRDefault="00EC3F78" w:rsidP="00EC3F78">
      <w:pPr>
        <w:pStyle w:val="ListParagraph"/>
        <w:numPr>
          <w:ilvl w:val="0"/>
          <w:numId w:val="0"/>
        </w:numPr>
        <w:ind w:left="360"/>
        <w:rPr>
          <w:rStyle w:val="ReportTemplate"/>
        </w:rPr>
      </w:pPr>
    </w:p>
    <w:p w14:paraId="76C44816" w14:textId="77777777" w:rsidR="00BB3BEA" w:rsidRDefault="00BB3BEA" w:rsidP="00EC3F78">
      <w:pPr>
        <w:pStyle w:val="ListParagraph"/>
        <w:numPr>
          <w:ilvl w:val="1"/>
          <w:numId w:val="1"/>
        </w:numPr>
        <w:ind w:left="993" w:hanging="633"/>
      </w:pPr>
      <w:r>
        <w:t>T</w:t>
      </w:r>
      <w:r w:rsidRPr="007D5239">
        <w:t xml:space="preserve">he LGA’s standalone budget </w:t>
      </w:r>
      <w:r>
        <w:t xml:space="preserve">per the Financial Strategy indicated </w:t>
      </w:r>
      <w:r w:rsidRPr="007D5239">
        <w:t xml:space="preserve">a </w:t>
      </w:r>
      <w:r>
        <w:t xml:space="preserve">small </w:t>
      </w:r>
      <w:r w:rsidRPr="007D5239">
        <w:t xml:space="preserve">surplus before </w:t>
      </w:r>
      <w:r>
        <w:t>making contractual</w:t>
      </w:r>
      <w:r w:rsidRPr="007D5239">
        <w:t xml:space="preserve"> pension deficit payments. Taking into account these payments it </w:t>
      </w:r>
      <w:r>
        <w:t>was</w:t>
      </w:r>
      <w:r w:rsidRPr="007D5239">
        <w:t xml:space="preserve"> recommended that drawings from the Risk and Contingency Reserve are utilised to balance the budget for the</w:t>
      </w:r>
      <w:r>
        <w:t xml:space="preserve"> </w:t>
      </w:r>
      <w:r w:rsidRPr="007D5239">
        <w:t xml:space="preserve">2 years </w:t>
      </w:r>
      <w:r>
        <w:t>2018/19 and 2019/20</w:t>
      </w:r>
      <w:r w:rsidRPr="007D5239">
        <w:t xml:space="preserve">. </w:t>
      </w:r>
    </w:p>
    <w:p w14:paraId="2BBEA155" w14:textId="77777777" w:rsidR="00EC3F78" w:rsidRDefault="00EC3F78" w:rsidP="00EC3F78">
      <w:pPr>
        <w:pStyle w:val="ListParagraph"/>
        <w:numPr>
          <w:ilvl w:val="0"/>
          <w:numId w:val="0"/>
        </w:numPr>
        <w:ind w:left="360"/>
      </w:pPr>
    </w:p>
    <w:p w14:paraId="630E74F1" w14:textId="77777777" w:rsidR="00103C35" w:rsidRDefault="00103C35" w:rsidP="00EC3F78">
      <w:pPr>
        <w:pStyle w:val="ListParagraph"/>
        <w:numPr>
          <w:ilvl w:val="2"/>
          <w:numId w:val="1"/>
        </w:numPr>
        <w:ind w:left="1560" w:hanging="840"/>
      </w:pPr>
      <w:r>
        <w:t>The previously identified budget pressures</w:t>
      </w:r>
      <w:r w:rsidR="00225520">
        <w:t xml:space="preserve"> and risks and opportunities</w:t>
      </w:r>
      <w:r>
        <w:t xml:space="preserve"> for the LGA are shown in </w:t>
      </w:r>
      <w:r w:rsidRPr="00EC3F78">
        <w:rPr>
          <w:b/>
          <w:u w:val="single"/>
        </w:rPr>
        <w:t>Appendix B</w:t>
      </w:r>
      <w:r>
        <w:t>.</w:t>
      </w:r>
    </w:p>
    <w:p w14:paraId="52D675ED" w14:textId="77777777" w:rsidR="00EC3F78" w:rsidRPr="007D5239" w:rsidRDefault="00EC3F78" w:rsidP="00EC3F78">
      <w:pPr>
        <w:pStyle w:val="ListParagraph"/>
        <w:numPr>
          <w:ilvl w:val="0"/>
          <w:numId w:val="0"/>
        </w:numPr>
        <w:ind w:left="1224"/>
      </w:pPr>
    </w:p>
    <w:p w14:paraId="3CA9329E" w14:textId="77777777" w:rsidR="0060439A" w:rsidRDefault="00BB3BEA" w:rsidP="00EC3F78">
      <w:pPr>
        <w:pStyle w:val="ListParagraph"/>
        <w:numPr>
          <w:ilvl w:val="1"/>
          <w:numId w:val="1"/>
        </w:numPr>
        <w:ind w:left="993" w:hanging="633"/>
      </w:pPr>
      <w:r>
        <w:t>For the IDeA the forecasts for the 3 years have been based on a possible scenario of a reducing DCLG programme on the basis of reduced grant income</w:t>
      </w:r>
      <w:r w:rsidR="009F21DD">
        <w:t xml:space="preserve"> year on year, matched by reduced expenditure</w:t>
      </w:r>
      <w:r>
        <w:t xml:space="preserve">. The reduced spending </w:t>
      </w:r>
      <w:r>
        <w:lastRenderedPageBreak/>
        <w:t>requirement shown within the IDeA budget will most likely also impact on the overhead recoveries from the LGA. The detailed calculations will take place each year once the planned grant levels are known within the detailed budget</w:t>
      </w:r>
      <w:r w:rsidR="009F21DD">
        <w:t>.</w:t>
      </w:r>
    </w:p>
    <w:p w14:paraId="19BF1BCF" w14:textId="77777777" w:rsidR="00EC3F78" w:rsidRDefault="00EC3F78" w:rsidP="00EC3F78">
      <w:pPr>
        <w:pStyle w:val="ListParagraph"/>
        <w:numPr>
          <w:ilvl w:val="0"/>
          <w:numId w:val="0"/>
        </w:numPr>
        <w:ind w:left="792"/>
      </w:pPr>
    </w:p>
    <w:p w14:paraId="4207B4E9" w14:textId="77777777" w:rsidR="009F21DD" w:rsidRDefault="009F21DD" w:rsidP="00EC3F78">
      <w:pPr>
        <w:pStyle w:val="ListParagraph"/>
        <w:numPr>
          <w:ilvl w:val="1"/>
          <w:numId w:val="1"/>
        </w:numPr>
        <w:ind w:left="993" w:hanging="633"/>
      </w:pPr>
      <w:r>
        <w:t>T</w:t>
      </w:r>
      <w:r w:rsidRPr="007D5239">
        <w:t xml:space="preserve">he </w:t>
      </w:r>
      <w:r>
        <w:t>IDeA</w:t>
      </w:r>
      <w:r w:rsidRPr="007D5239">
        <w:t xml:space="preserve">’s standalone budget </w:t>
      </w:r>
      <w:r>
        <w:t xml:space="preserve">per the Financial Strategy also indicated </w:t>
      </w:r>
      <w:r w:rsidRPr="007D5239">
        <w:t xml:space="preserve">a </w:t>
      </w:r>
      <w:r>
        <w:t xml:space="preserve">small </w:t>
      </w:r>
      <w:r w:rsidRPr="007D5239">
        <w:t xml:space="preserve">surplus </w:t>
      </w:r>
      <w:r>
        <w:t>in excess of the contractual</w:t>
      </w:r>
      <w:r w:rsidRPr="007D5239">
        <w:t xml:space="preserve"> pension deficit payments. T</w:t>
      </w:r>
      <w:r>
        <w:t>herefore it is suggested that</w:t>
      </w:r>
      <w:r w:rsidRPr="007D5239">
        <w:t xml:space="preserve"> </w:t>
      </w:r>
      <w:r>
        <w:t xml:space="preserve">surpluses driven from commercial activities such as the </w:t>
      </w:r>
      <w:proofErr w:type="spellStart"/>
      <w:r>
        <w:t>Geoplace</w:t>
      </w:r>
      <w:proofErr w:type="spellEnd"/>
      <w:r>
        <w:t xml:space="preserve"> Dividend and the Ordnance Survey Licence fees are allocated to the Risk and Contingency reserve to meet future risks / costs facing the IDeA</w:t>
      </w:r>
      <w:r w:rsidRPr="007D5239">
        <w:t xml:space="preserve">. </w:t>
      </w:r>
    </w:p>
    <w:p w14:paraId="0876D547" w14:textId="77777777" w:rsidR="00EC3F78" w:rsidRPr="007D5239" w:rsidRDefault="00EC3F78" w:rsidP="00EC3F78">
      <w:pPr>
        <w:pStyle w:val="ListParagraph"/>
        <w:numPr>
          <w:ilvl w:val="0"/>
          <w:numId w:val="0"/>
        </w:numPr>
        <w:ind w:left="792"/>
      </w:pPr>
    </w:p>
    <w:p w14:paraId="3CB41C7F" w14:textId="77777777" w:rsidR="00103C35" w:rsidRDefault="00103C35" w:rsidP="00EC3F78">
      <w:pPr>
        <w:pStyle w:val="ListParagraph"/>
        <w:numPr>
          <w:ilvl w:val="2"/>
          <w:numId w:val="1"/>
        </w:numPr>
        <w:ind w:left="1560" w:hanging="840"/>
      </w:pPr>
      <w:r>
        <w:t xml:space="preserve">The previously identified budget pressures </w:t>
      </w:r>
      <w:r w:rsidR="00225520">
        <w:t>and risks and opportunities for</w:t>
      </w:r>
      <w:r>
        <w:t xml:space="preserve"> the IDeA are shown in </w:t>
      </w:r>
      <w:r w:rsidRPr="00EC3F78">
        <w:rPr>
          <w:b/>
          <w:u w:val="single"/>
        </w:rPr>
        <w:t>Appendix C</w:t>
      </w:r>
      <w:r>
        <w:t>.</w:t>
      </w:r>
    </w:p>
    <w:p w14:paraId="51E0B68B" w14:textId="77777777" w:rsidR="00EC3F78" w:rsidRPr="007D5239" w:rsidRDefault="00EC3F78" w:rsidP="00EC3F78">
      <w:pPr>
        <w:pStyle w:val="ListParagraph"/>
        <w:numPr>
          <w:ilvl w:val="0"/>
          <w:numId w:val="0"/>
        </w:numPr>
        <w:ind w:left="1224"/>
      </w:pPr>
    </w:p>
    <w:p w14:paraId="64B60369" w14:textId="77777777" w:rsidR="009F21DD" w:rsidRDefault="00225520" w:rsidP="00EC3F78">
      <w:pPr>
        <w:pStyle w:val="ListParagraph"/>
        <w:numPr>
          <w:ilvl w:val="1"/>
          <w:numId w:val="1"/>
        </w:numPr>
        <w:ind w:left="993" w:hanging="633"/>
        <w:rPr>
          <w:rStyle w:val="ReportTemplate"/>
        </w:rPr>
      </w:pPr>
      <w:r>
        <w:rPr>
          <w:rStyle w:val="ReportTemplate"/>
        </w:rPr>
        <w:t>The main risks and opportunities for LGA(P) and LGMB centre on the timing of new tenancy agreements.</w:t>
      </w:r>
    </w:p>
    <w:p w14:paraId="34C7E3B7" w14:textId="77777777" w:rsidR="00EC3F78" w:rsidRDefault="00EC3F78" w:rsidP="00EC3F78">
      <w:pPr>
        <w:pStyle w:val="ListParagraph"/>
        <w:numPr>
          <w:ilvl w:val="0"/>
          <w:numId w:val="0"/>
        </w:numPr>
        <w:ind w:left="792"/>
        <w:rPr>
          <w:rStyle w:val="ReportTemplate"/>
        </w:rPr>
      </w:pPr>
    </w:p>
    <w:p w14:paraId="35ADB3BA" w14:textId="77777777" w:rsidR="00225520" w:rsidRDefault="0071033C" w:rsidP="0071033C">
      <w:pPr>
        <w:pStyle w:val="ListParagraph"/>
        <w:rPr>
          <w:rStyle w:val="ReportTemplate"/>
        </w:rPr>
      </w:pPr>
      <w:r>
        <w:rPr>
          <w:rStyle w:val="ReportTemplate"/>
        </w:rPr>
        <w:t>Formalisation of budget ownership:</w:t>
      </w:r>
    </w:p>
    <w:p w14:paraId="7377A890" w14:textId="77777777" w:rsidR="00EC3F78" w:rsidRDefault="00EC3F78" w:rsidP="00EC3F78">
      <w:pPr>
        <w:pStyle w:val="ListParagraph"/>
        <w:numPr>
          <w:ilvl w:val="0"/>
          <w:numId w:val="0"/>
        </w:numPr>
        <w:ind w:left="360"/>
        <w:rPr>
          <w:rStyle w:val="ReportTemplate"/>
        </w:rPr>
      </w:pPr>
    </w:p>
    <w:p w14:paraId="63D4C594" w14:textId="77777777" w:rsidR="0071033C" w:rsidRDefault="003317CE" w:rsidP="00EC3F78">
      <w:pPr>
        <w:pStyle w:val="ListParagraph"/>
        <w:numPr>
          <w:ilvl w:val="1"/>
          <w:numId w:val="1"/>
        </w:numPr>
        <w:ind w:left="993" w:hanging="633"/>
        <w:rPr>
          <w:rStyle w:val="ReportTemplate"/>
        </w:rPr>
      </w:pPr>
      <w:r>
        <w:rPr>
          <w:rStyle w:val="ReportTemplate"/>
        </w:rPr>
        <w:t xml:space="preserve">Best practice indicates that there should be </w:t>
      </w:r>
      <w:r w:rsidR="0071033C">
        <w:rPr>
          <w:rStyle w:val="ReportTemplate"/>
        </w:rPr>
        <w:t>formal budget ownership</w:t>
      </w:r>
      <w:r>
        <w:rPr>
          <w:rStyle w:val="ReportTemplate"/>
        </w:rPr>
        <w:t xml:space="preserve"> within organisations.  It</w:t>
      </w:r>
      <w:r w:rsidR="0071033C">
        <w:rPr>
          <w:rStyle w:val="ReportTemplate"/>
        </w:rPr>
        <w:t xml:space="preserve"> is </w:t>
      </w:r>
      <w:r>
        <w:rPr>
          <w:rStyle w:val="ReportTemplate"/>
        </w:rPr>
        <w:t xml:space="preserve">therefore </w:t>
      </w:r>
      <w:r w:rsidR="0071033C">
        <w:rPr>
          <w:rStyle w:val="ReportTemplate"/>
        </w:rPr>
        <w:t>proposed that Budget Holders sign and return Budget Delegation Letters to demonstrate:</w:t>
      </w:r>
    </w:p>
    <w:p w14:paraId="508A8849" w14:textId="77777777" w:rsidR="00EC3F78" w:rsidRDefault="00EC3F78" w:rsidP="00EC3F78">
      <w:pPr>
        <w:pStyle w:val="ListParagraph"/>
        <w:numPr>
          <w:ilvl w:val="0"/>
          <w:numId w:val="0"/>
        </w:numPr>
        <w:ind w:left="792"/>
        <w:rPr>
          <w:rStyle w:val="ReportTemplate"/>
        </w:rPr>
      </w:pPr>
    </w:p>
    <w:p w14:paraId="6D9B289E" w14:textId="7581E1EF" w:rsidR="00EC3F78" w:rsidRDefault="0071033C" w:rsidP="00EC3F78">
      <w:pPr>
        <w:pStyle w:val="ListParagraph"/>
        <w:numPr>
          <w:ilvl w:val="2"/>
          <w:numId w:val="1"/>
        </w:numPr>
        <w:ind w:left="1560" w:hanging="840"/>
        <w:rPr>
          <w:rStyle w:val="ReportTemplate"/>
        </w:rPr>
      </w:pPr>
      <w:r>
        <w:rPr>
          <w:rStyle w:val="ReportTemplate"/>
        </w:rPr>
        <w:t>They have been involved in the budget setting process;</w:t>
      </w:r>
    </w:p>
    <w:p w14:paraId="28F826E5" w14:textId="77777777" w:rsidR="00EC3F78" w:rsidRDefault="00EC3F78" w:rsidP="00EC3F78">
      <w:pPr>
        <w:pStyle w:val="ListParagraph"/>
        <w:numPr>
          <w:ilvl w:val="0"/>
          <w:numId w:val="0"/>
        </w:numPr>
        <w:ind w:left="1224"/>
        <w:rPr>
          <w:rStyle w:val="ReportTemplate"/>
        </w:rPr>
      </w:pPr>
    </w:p>
    <w:p w14:paraId="747215E7" w14:textId="1B401B93" w:rsidR="00EC3F78" w:rsidRDefault="0071033C" w:rsidP="00EC3F78">
      <w:pPr>
        <w:pStyle w:val="ListParagraph"/>
        <w:numPr>
          <w:ilvl w:val="2"/>
          <w:numId w:val="1"/>
        </w:numPr>
        <w:ind w:left="1560" w:hanging="840"/>
        <w:rPr>
          <w:rStyle w:val="ReportTemplate"/>
        </w:rPr>
      </w:pPr>
      <w:r>
        <w:rPr>
          <w:rStyle w:val="ReportTemplate"/>
        </w:rPr>
        <w:t>They understand and take ownership of the budget that has been allocated to them; and</w:t>
      </w:r>
    </w:p>
    <w:p w14:paraId="52F8DF7B" w14:textId="77777777" w:rsidR="00EC3F78" w:rsidRDefault="00EC3F78" w:rsidP="00EC3F78">
      <w:pPr>
        <w:pStyle w:val="ListParagraph"/>
        <w:numPr>
          <w:ilvl w:val="0"/>
          <w:numId w:val="0"/>
        </w:numPr>
        <w:ind w:left="360"/>
        <w:rPr>
          <w:rStyle w:val="ReportTemplate"/>
        </w:rPr>
      </w:pPr>
    </w:p>
    <w:p w14:paraId="65C3A3CA" w14:textId="28474F19" w:rsidR="0071033C" w:rsidRDefault="0071033C" w:rsidP="00EC3F78">
      <w:pPr>
        <w:pStyle w:val="ListParagraph"/>
        <w:numPr>
          <w:ilvl w:val="2"/>
          <w:numId w:val="1"/>
        </w:numPr>
        <w:ind w:left="1560" w:hanging="840"/>
        <w:rPr>
          <w:rStyle w:val="ReportTemplate"/>
        </w:rPr>
      </w:pPr>
      <w:r>
        <w:rPr>
          <w:rStyle w:val="ReportTemplate"/>
        </w:rPr>
        <w:t xml:space="preserve">They understand the budget </w:t>
      </w:r>
      <w:proofErr w:type="spellStart"/>
      <w:r>
        <w:rPr>
          <w:rStyle w:val="ReportTemplate"/>
        </w:rPr>
        <w:t>virement</w:t>
      </w:r>
      <w:proofErr w:type="spellEnd"/>
      <w:r>
        <w:rPr>
          <w:rStyle w:val="ReportTemplate"/>
        </w:rPr>
        <w:t xml:space="preserve"> process</w:t>
      </w:r>
      <w:r w:rsidR="00EC3F78">
        <w:rPr>
          <w:rStyle w:val="ReportTemplate"/>
        </w:rPr>
        <w:t>.</w:t>
      </w:r>
    </w:p>
    <w:p w14:paraId="52B23F7B" w14:textId="77777777" w:rsidR="00EC3F78" w:rsidRDefault="00EC3F78" w:rsidP="00EC3F78">
      <w:pPr>
        <w:pStyle w:val="ListParagraph"/>
        <w:numPr>
          <w:ilvl w:val="0"/>
          <w:numId w:val="0"/>
        </w:numPr>
        <w:ind w:left="360"/>
        <w:rPr>
          <w:rStyle w:val="ReportTemplate"/>
        </w:rPr>
      </w:pPr>
    </w:p>
    <w:p w14:paraId="1D6F6FA0" w14:textId="77777777" w:rsidR="003317CE" w:rsidRDefault="003317CE" w:rsidP="00EC3F78">
      <w:pPr>
        <w:pStyle w:val="ListParagraph"/>
        <w:numPr>
          <w:ilvl w:val="1"/>
          <w:numId w:val="1"/>
        </w:numPr>
        <w:ind w:left="993" w:hanging="633"/>
        <w:rPr>
          <w:rStyle w:val="ReportTemplate"/>
        </w:rPr>
      </w:pPr>
      <w:r>
        <w:rPr>
          <w:rStyle w:val="ReportTemplate"/>
        </w:rPr>
        <w:t xml:space="preserve">A proposed template letter is included in </w:t>
      </w:r>
      <w:r w:rsidRPr="00EC3F78">
        <w:rPr>
          <w:rStyle w:val="ReportTemplate"/>
          <w:b/>
          <w:u w:val="single"/>
        </w:rPr>
        <w:t>Appendix D</w:t>
      </w:r>
      <w:r>
        <w:rPr>
          <w:rStyle w:val="ReportTemplate"/>
        </w:rPr>
        <w:t>.</w:t>
      </w:r>
    </w:p>
    <w:p w14:paraId="53FECA88" w14:textId="77777777" w:rsidR="00EC3F78" w:rsidRDefault="00EC3F78" w:rsidP="00EC3F78">
      <w:pPr>
        <w:pStyle w:val="ListParagraph"/>
        <w:numPr>
          <w:ilvl w:val="0"/>
          <w:numId w:val="0"/>
        </w:numPr>
        <w:ind w:left="792"/>
        <w:rPr>
          <w:rStyle w:val="ReportTemplate"/>
        </w:rPr>
      </w:pPr>
    </w:p>
    <w:p w14:paraId="571A0E89" w14:textId="77777777" w:rsidR="0060439A" w:rsidRDefault="003317CE" w:rsidP="00301A51">
      <w:pPr>
        <w:pStyle w:val="ListParagraph"/>
        <w:rPr>
          <w:rStyle w:val="ReportTemplate"/>
        </w:rPr>
      </w:pPr>
      <w:r>
        <w:rPr>
          <w:rStyle w:val="ReportTemplate"/>
        </w:rPr>
        <w:t xml:space="preserve">A Memo will be issued to Budget Holders setting out the timetable and detailed processes.  A draft version is attached at </w:t>
      </w:r>
      <w:r w:rsidRPr="00EC3F78">
        <w:rPr>
          <w:rStyle w:val="ReportTemplate"/>
          <w:b/>
          <w:u w:val="single"/>
        </w:rPr>
        <w:t>Appendix E</w:t>
      </w:r>
      <w:r>
        <w:rPr>
          <w:rStyle w:val="ReportTemplate"/>
        </w:rPr>
        <w:t xml:space="preserve"> for comment.</w:t>
      </w:r>
    </w:p>
    <w:sdt>
      <w:sdtPr>
        <w:rPr>
          <w:rStyle w:val="Style6"/>
        </w:rPr>
        <w:alias w:val="Wales"/>
        <w:tag w:val="Wales"/>
        <w:id w:val="77032369"/>
        <w:placeholder>
          <w:docPart w:val="EECEE7B9D7B84CC0BE134A02D365A7F9"/>
        </w:placeholder>
      </w:sdtPr>
      <w:sdtEndPr>
        <w:rPr>
          <w:rStyle w:val="Style6"/>
        </w:rPr>
      </w:sdtEndPr>
      <w:sdtContent>
        <w:p w14:paraId="1DAC8D91" w14:textId="77777777" w:rsidR="009B6F95" w:rsidRPr="003317CE" w:rsidRDefault="009B6F95" w:rsidP="000F69FB">
          <w:r w:rsidRPr="00C803F3">
            <w:rPr>
              <w:rStyle w:val="Style6"/>
            </w:rPr>
            <w:t>Implications for Wales</w:t>
          </w:r>
        </w:p>
      </w:sdtContent>
    </w:sdt>
    <w:p w14:paraId="7FBFA773" w14:textId="77777777" w:rsidR="002539E9" w:rsidRPr="003317CE" w:rsidRDefault="00FF7E4C" w:rsidP="00FF7E4C">
      <w:pPr>
        <w:pStyle w:val="ListParagraph"/>
        <w:rPr>
          <w:rStyle w:val="ReportTemplate"/>
        </w:rPr>
      </w:pPr>
      <w:r w:rsidRPr="003317CE">
        <w:rPr>
          <w:rStyle w:val="ReportTemplate"/>
        </w:rPr>
        <w:t>IDeA is currently in receipt of a grant from DCLG Wales, which needs to be budgeted and accounted for in line with the principles noted above</w:t>
      </w:r>
      <w:r w:rsidR="003317CE" w:rsidRPr="003317CE">
        <w:rPr>
          <w:rStyle w:val="ReportTemplate"/>
        </w:rPr>
        <w:t>.</w:t>
      </w:r>
    </w:p>
    <w:p w14:paraId="7687D452" w14:textId="77777777" w:rsidR="009B6F95" w:rsidRPr="009B1AA8" w:rsidRDefault="00B42A88"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3E93D35" w14:textId="48A67FB5" w:rsidR="009B6F95" w:rsidRDefault="00FF7E4C" w:rsidP="00FF7E4C">
      <w:pPr>
        <w:pStyle w:val="ListParagraph"/>
        <w:rPr>
          <w:rStyle w:val="Title2"/>
          <w:b w:val="0"/>
          <w:sz w:val="22"/>
        </w:rPr>
      </w:pPr>
      <w:r w:rsidRPr="00FF7E4C">
        <w:rPr>
          <w:rStyle w:val="Title2"/>
          <w:b w:val="0"/>
          <w:sz w:val="22"/>
        </w:rPr>
        <w:t>As above</w:t>
      </w:r>
      <w:r w:rsidR="00B42A88">
        <w:rPr>
          <w:rStyle w:val="Title2"/>
          <w:b w:val="0"/>
          <w:sz w:val="22"/>
        </w:rPr>
        <w:t>.</w:t>
      </w:r>
    </w:p>
    <w:p w14:paraId="132BB098" w14:textId="77777777" w:rsidR="00EC3F78" w:rsidRDefault="00EC3F78" w:rsidP="00EC3F78">
      <w:pPr>
        <w:pStyle w:val="ListParagraph"/>
        <w:numPr>
          <w:ilvl w:val="0"/>
          <w:numId w:val="0"/>
        </w:numPr>
        <w:ind w:left="360"/>
        <w:rPr>
          <w:rStyle w:val="Title2"/>
          <w:b w:val="0"/>
          <w:sz w:val="22"/>
        </w:rPr>
      </w:pPr>
    </w:p>
    <w:p w14:paraId="0E22647B" w14:textId="77777777" w:rsidR="00EC3F78" w:rsidRDefault="00EC3F78" w:rsidP="00EC3F78">
      <w:pPr>
        <w:pStyle w:val="ListParagraph"/>
        <w:numPr>
          <w:ilvl w:val="0"/>
          <w:numId w:val="0"/>
        </w:numPr>
        <w:ind w:left="360"/>
        <w:rPr>
          <w:rStyle w:val="Title2"/>
          <w:b w:val="0"/>
          <w:sz w:val="22"/>
        </w:rPr>
      </w:pPr>
    </w:p>
    <w:p w14:paraId="58756B12" w14:textId="77777777" w:rsidR="00EC3F78" w:rsidRPr="00FF7E4C" w:rsidRDefault="00EC3F78" w:rsidP="00EC3F78">
      <w:pPr>
        <w:pStyle w:val="ListParagraph"/>
        <w:numPr>
          <w:ilvl w:val="0"/>
          <w:numId w:val="0"/>
        </w:numPr>
        <w:ind w:left="360"/>
        <w:rPr>
          <w:rStyle w:val="Title2"/>
          <w:b w:val="0"/>
          <w:sz w:val="22"/>
        </w:rPr>
      </w:pPr>
    </w:p>
    <w:p w14:paraId="35DDF7FD" w14:textId="77777777" w:rsidR="009B6F95" w:rsidRPr="009B1AA8" w:rsidRDefault="00B42A8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F7F87AB" w14:textId="77777777" w:rsidR="003317CE" w:rsidRDefault="003317CE" w:rsidP="000F69FB">
      <w:pPr>
        <w:pStyle w:val="ListParagraph"/>
        <w:rPr>
          <w:rStyle w:val="ReportTemplate"/>
        </w:rPr>
      </w:pPr>
      <w:r>
        <w:rPr>
          <w:rStyle w:val="ReportTemplate"/>
        </w:rPr>
        <w:t>Members are invited to discuss:</w:t>
      </w:r>
    </w:p>
    <w:p w14:paraId="70ACA064" w14:textId="77777777" w:rsidR="00EC3F78" w:rsidRDefault="00EC3F78" w:rsidP="00EC3F78">
      <w:pPr>
        <w:pStyle w:val="ListParagraph"/>
        <w:numPr>
          <w:ilvl w:val="0"/>
          <w:numId w:val="0"/>
        </w:numPr>
        <w:ind w:left="360"/>
        <w:rPr>
          <w:rStyle w:val="ReportTemplate"/>
        </w:rPr>
      </w:pPr>
    </w:p>
    <w:p w14:paraId="7A846E07" w14:textId="77777777" w:rsidR="003317CE" w:rsidRDefault="003317CE" w:rsidP="00EC3F78">
      <w:pPr>
        <w:pStyle w:val="ListParagraph"/>
        <w:numPr>
          <w:ilvl w:val="1"/>
          <w:numId w:val="1"/>
        </w:numPr>
        <w:ind w:left="993" w:hanging="633"/>
        <w:rPr>
          <w:rStyle w:val="ReportTemplate"/>
        </w:rPr>
      </w:pPr>
      <w:r>
        <w:rPr>
          <w:rStyle w:val="ReportTemplate"/>
        </w:rPr>
        <w:t>the proposed Budget Framework – using the prior Financial Strategy from January 2017 as the basis for 2018/19</w:t>
      </w:r>
      <w:r w:rsidR="00F052C9">
        <w:rPr>
          <w:rStyle w:val="ReportTemplate"/>
        </w:rPr>
        <w:t xml:space="preserve"> and the new Medium Term Financial Plan</w:t>
      </w:r>
      <w:r>
        <w:rPr>
          <w:rStyle w:val="ReportTemplate"/>
        </w:rPr>
        <w:t>;</w:t>
      </w:r>
    </w:p>
    <w:p w14:paraId="2B9967B5" w14:textId="77777777" w:rsidR="00EC3F78" w:rsidRDefault="00EC3F78" w:rsidP="00EC3F78">
      <w:pPr>
        <w:pStyle w:val="ListParagraph"/>
        <w:numPr>
          <w:ilvl w:val="0"/>
          <w:numId w:val="0"/>
        </w:numPr>
        <w:ind w:left="993" w:hanging="633"/>
        <w:rPr>
          <w:rStyle w:val="ReportTemplate"/>
        </w:rPr>
      </w:pPr>
    </w:p>
    <w:p w14:paraId="457E0A9D" w14:textId="77777777" w:rsidR="009B6F95" w:rsidRDefault="003317CE" w:rsidP="00EC3F78">
      <w:pPr>
        <w:pStyle w:val="ListParagraph"/>
        <w:numPr>
          <w:ilvl w:val="1"/>
          <w:numId w:val="1"/>
        </w:numPr>
        <w:ind w:left="993" w:hanging="633"/>
        <w:rPr>
          <w:rStyle w:val="ReportTemplate"/>
        </w:rPr>
      </w:pPr>
      <w:r>
        <w:rPr>
          <w:rStyle w:val="ReportTemplate"/>
        </w:rPr>
        <w:t>the proposed new Budget Delegation Letter; and</w:t>
      </w:r>
    </w:p>
    <w:p w14:paraId="372C603F" w14:textId="77777777" w:rsidR="00EC3F78" w:rsidRDefault="00EC3F78" w:rsidP="00EC3F78">
      <w:pPr>
        <w:pStyle w:val="ListParagraph"/>
        <w:numPr>
          <w:ilvl w:val="0"/>
          <w:numId w:val="0"/>
        </w:numPr>
        <w:ind w:left="993" w:hanging="633"/>
        <w:rPr>
          <w:rStyle w:val="ReportTemplate"/>
        </w:rPr>
      </w:pPr>
    </w:p>
    <w:p w14:paraId="0F69FD7C" w14:textId="77777777" w:rsidR="003317CE" w:rsidRPr="009B1AA8" w:rsidRDefault="003317CE" w:rsidP="00EC3F78">
      <w:pPr>
        <w:pStyle w:val="ListParagraph"/>
        <w:numPr>
          <w:ilvl w:val="1"/>
          <w:numId w:val="1"/>
        </w:numPr>
        <w:ind w:left="993" w:hanging="633"/>
        <w:rPr>
          <w:rStyle w:val="ReportTemplate"/>
        </w:rPr>
      </w:pPr>
      <w:r>
        <w:rPr>
          <w:rStyle w:val="ReportTemplate"/>
        </w:rPr>
        <w:t>the draft Budget Memorandum to Budget Holders.</w:t>
      </w:r>
    </w:p>
    <w:p w14:paraId="66A7BB73" w14:textId="77777777" w:rsidR="009F21DD" w:rsidRDefault="009F21DD" w:rsidP="00EC3F78">
      <w:pPr>
        <w:ind w:left="0" w:firstLine="0"/>
        <w:rPr>
          <w:rStyle w:val="ReportTemplate"/>
        </w:rPr>
        <w:sectPr w:rsidR="009F21DD">
          <w:headerReference w:type="default" r:id="rId10"/>
          <w:pgSz w:w="11906" w:h="16838"/>
          <w:pgMar w:top="1440" w:right="1440" w:bottom="1440" w:left="1440" w:header="708" w:footer="708" w:gutter="0"/>
          <w:cols w:space="708"/>
          <w:docGrid w:linePitch="360"/>
        </w:sectPr>
      </w:pPr>
    </w:p>
    <w:p w14:paraId="4BCF14E0" w14:textId="77777777" w:rsidR="009F21DD" w:rsidRPr="009F21DD" w:rsidRDefault="009F21DD" w:rsidP="00EC3F78">
      <w:pPr>
        <w:ind w:left="0" w:firstLine="0"/>
        <w:rPr>
          <w:rStyle w:val="ReportTemplate"/>
          <w:b/>
        </w:rPr>
      </w:pPr>
      <w:r w:rsidRPr="009F21DD">
        <w:rPr>
          <w:rStyle w:val="ReportTemplate"/>
          <w:b/>
        </w:rPr>
        <w:lastRenderedPageBreak/>
        <w:t>APPENDIX A – Group Consolidated Summary</w:t>
      </w:r>
    </w:p>
    <w:p w14:paraId="6260B701" w14:textId="77777777" w:rsidR="009B6F95" w:rsidRDefault="009F21DD" w:rsidP="00B42A88">
      <w:pPr>
        <w:ind w:left="0" w:firstLine="0"/>
      </w:pPr>
      <w:r w:rsidRPr="009E0082">
        <w:t>The summary below provides an overview of the expected changes to the finances of the group over the three years</w:t>
      </w:r>
      <w:r>
        <w:t xml:space="preserve"> of the Financial Strategy:</w:t>
      </w:r>
    </w:p>
    <w:tbl>
      <w:tblPr>
        <w:tblW w:w="9160" w:type="dxa"/>
        <w:tblInd w:w="-5" w:type="dxa"/>
        <w:tblLook w:val="04A0" w:firstRow="1" w:lastRow="0" w:firstColumn="1" w:lastColumn="0" w:noHBand="0" w:noVBand="1"/>
      </w:tblPr>
      <w:tblGrid>
        <w:gridCol w:w="2960"/>
        <w:gridCol w:w="1331"/>
        <w:gridCol w:w="1540"/>
        <w:gridCol w:w="1369"/>
        <w:gridCol w:w="1369"/>
        <w:gridCol w:w="1369"/>
      </w:tblGrid>
      <w:tr w:rsidR="009F21DD" w:rsidRPr="00294B41" w14:paraId="598BB8FD" w14:textId="77777777" w:rsidTr="009F21DD">
        <w:trPr>
          <w:trHeight w:val="900"/>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599534" w14:textId="77777777" w:rsidR="009F21DD" w:rsidRPr="00B42A88" w:rsidRDefault="009F21DD" w:rsidP="00B42A88">
            <w:pPr>
              <w:spacing w:after="0"/>
              <w:rPr>
                <w:rFonts w:cs="Arial"/>
                <w:b/>
                <w:bCs/>
              </w:rPr>
            </w:pPr>
            <w:r w:rsidRPr="00B42A88">
              <w:rPr>
                <w:rFonts w:cs="Arial"/>
                <w:b/>
                <w:bCs/>
              </w:rPr>
              <w:t>LGA</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0EBDBEB1" w14:textId="1507CDD1" w:rsidR="009F21DD" w:rsidRPr="00B42A88" w:rsidRDefault="00B42A88" w:rsidP="00B42A88">
            <w:pPr>
              <w:spacing w:after="0"/>
              <w:jc w:val="right"/>
              <w:rPr>
                <w:rFonts w:cs="Arial"/>
                <w:b/>
                <w:bCs/>
              </w:rPr>
            </w:pPr>
            <w:r>
              <w:rPr>
                <w:rFonts w:cs="Arial"/>
                <w:b/>
                <w:bCs/>
              </w:rPr>
              <w:t xml:space="preserve">Current </w:t>
            </w:r>
            <w:r w:rsidR="009F21DD" w:rsidRPr="00B42A88">
              <w:rPr>
                <w:rFonts w:cs="Arial"/>
                <w:b/>
                <w:bCs/>
              </w:rPr>
              <w:t>Budget</w:t>
            </w:r>
          </w:p>
          <w:p w14:paraId="204934C4" w14:textId="77777777" w:rsidR="000004D9" w:rsidRPr="00B42A88" w:rsidRDefault="000004D9" w:rsidP="00B42A88">
            <w:pPr>
              <w:spacing w:after="0"/>
              <w:jc w:val="right"/>
              <w:rPr>
                <w:rFonts w:cs="Arial"/>
                <w:b/>
                <w:bCs/>
              </w:rPr>
            </w:pPr>
            <w:r w:rsidRPr="00B42A88">
              <w:rPr>
                <w:rFonts w:cs="Arial"/>
                <w:b/>
                <w:bCs/>
              </w:rPr>
              <w:t>2016/17</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379F9FA" w14:textId="77777777" w:rsidR="009F21DD" w:rsidRPr="00B42A88" w:rsidRDefault="009F21DD" w:rsidP="00B42A88">
            <w:pPr>
              <w:spacing w:after="0"/>
              <w:jc w:val="right"/>
              <w:rPr>
                <w:rFonts w:cs="Arial"/>
                <w:b/>
                <w:bCs/>
              </w:rPr>
            </w:pPr>
            <w:r w:rsidRPr="00B42A88">
              <w:rPr>
                <w:rFonts w:cs="Arial"/>
                <w:b/>
                <w:bCs/>
              </w:rPr>
              <w:t>Forecast Outturn</w:t>
            </w:r>
            <w:r w:rsidRPr="00B42A88">
              <w:rPr>
                <w:rFonts w:cs="Arial"/>
                <w:b/>
                <w:bCs/>
              </w:rPr>
              <w:br/>
            </w:r>
            <w:r w:rsidR="000004D9" w:rsidRPr="00B42A88">
              <w:rPr>
                <w:rFonts w:cs="Arial"/>
                <w:b/>
                <w:bCs/>
              </w:rPr>
              <w:t>16/17(</w:t>
            </w:r>
            <w:r w:rsidRPr="00B42A88">
              <w:rPr>
                <w:rFonts w:cs="Arial"/>
                <w:b/>
                <w:bCs/>
              </w:rPr>
              <w:t>P7</w:t>
            </w:r>
            <w:r w:rsidR="000004D9" w:rsidRPr="00B42A88">
              <w:rPr>
                <w:rFonts w:cs="Arial"/>
                <w:b/>
                <w:bCs/>
              </w:rPr>
              <w:t>)</w:t>
            </w:r>
          </w:p>
        </w:tc>
        <w:tc>
          <w:tcPr>
            <w:tcW w:w="1240" w:type="dxa"/>
            <w:tcBorders>
              <w:top w:val="single" w:sz="4" w:space="0" w:color="auto"/>
              <w:left w:val="nil"/>
              <w:bottom w:val="single" w:sz="4" w:space="0" w:color="auto"/>
              <w:right w:val="single" w:sz="4" w:space="0" w:color="auto"/>
            </w:tcBorders>
            <w:shd w:val="clear" w:color="000000" w:fill="D9D9D9"/>
            <w:hideMark/>
          </w:tcPr>
          <w:p w14:paraId="6977BD31" w14:textId="77777777" w:rsidR="009F21DD" w:rsidRPr="00B42A88" w:rsidRDefault="009F21DD" w:rsidP="00B42A88">
            <w:pPr>
              <w:spacing w:after="0"/>
              <w:jc w:val="right"/>
              <w:rPr>
                <w:rFonts w:cs="Arial"/>
                <w:b/>
                <w:bCs/>
              </w:rPr>
            </w:pPr>
            <w:r w:rsidRPr="00B42A88">
              <w:rPr>
                <w:rFonts w:cs="Arial"/>
                <w:b/>
                <w:bCs/>
              </w:rPr>
              <w:t>Projected Budget 2017/18</w:t>
            </w:r>
          </w:p>
        </w:tc>
        <w:tc>
          <w:tcPr>
            <w:tcW w:w="1240" w:type="dxa"/>
            <w:tcBorders>
              <w:top w:val="single" w:sz="4" w:space="0" w:color="auto"/>
              <w:left w:val="nil"/>
              <w:bottom w:val="single" w:sz="4" w:space="0" w:color="auto"/>
              <w:right w:val="single" w:sz="4" w:space="0" w:color="auto"/>
            </w:tcBorders>
            <w:shd w:val="clear" w:color="000000" w:fill="D9D9D9"/>
            <w:hideMark/>
          </w:tcPr>
          <w:p w14:paraId="31A1E4AE" w14:textId="77777777" w:rsidR="009F21DD" w:rsidRPr="00B42A88" w:rsidRDefault="009F21DD" w:rsidP="00B42A88">
            <w:pPr>
              <w:spacing w:after="0"/>
              <w:jc w:val="right"/>
              <w:rPr>
                <w:rFonts w:cs="Arial"/>
                <w:b/>
                <w:bCs/>
              </w:rPr>
            </w:pPr>
            <w:r w:rsidRPr="00B42A88">
              <w:rPr>
                <w:rFonts w:cs="Arial"/>
                <w:b/>
                <w:bCs/>
              </w:rPr>
              <w:t>Projected Budget 2018/19</w:t>
            </w:r>
          </w:p>
        </w:tc>
        <w:tc>
          <w:tcPr>
            <w:tcW w:w="1240" w:type="dxa"/>
            <w:tcBorders>
              <w:top w:val="single" w:sz="4" w:space="0" w:color="auto"/>
              <w:left w:val="nil"/>
              <w:bottom w:val="single" w:sz="4" w:space="0" w:color="auto"/>
              <w:right w:val="single" w:sz="4" w:space="0" w:color="auto"/>
            </w:tcBorders>
            <w:shd w:val="clear" w:color="000000" w:fill="D9D9D9"/>
            <w:hideMark/>
          </w:tcPr>
          <w:p w14:paraId="2ACEC5EC" w14:textId="77777777" w:rsidR="009F21DD" w:rsidRPr="00B42A88" w:rsidRDefault="009F21DD" w:rsidP="00B42A88">
            <w:pPr>
              <w:spacing w:after="0"/>
              <w:jc w:val="right"/>
              <w:rPr>
                <w:rFonts w:cs="Arial"/>
                <w:b/>
                <w:bCs/>
              </w:rPr>
            </w:pPr>
            <w:r w:rsidRPr="00B42A88">
              <w:rPr>
                <w:rFonts w:cs="Arial"/>
                <w:b/>
                <w:bCs/>
              </w:rPr>
              <w:t>Projected Budget 2019/20</w:t>
            </w:r>
          </w:p>
        </w:tc>
      </w:tr>
      <w:tr w:rsidR="009F21DD" w:rsidRPr="00294B41" w14:paraId="2D107E76"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0449BF9"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3208609" w14:textId="77777777" w:rsidR="009F21DD" w:rsidRPr="00B42A88" w:rsidRDefault="009F21DD" w:rsidP="009F21DD">
            <w:pPr>
              <w:spacing w:after="0"/>
              <w:jc w:val="center"/>
              <w:rPr>
                <w:rFonts w:cs="Arial"/>
                <w:b/>
                <w:bCs/>
              </w:rPr>
            </w:pPr>
            <w:r w:rsidRPr="00B42A88">
              <w:rPr>
                <w:rFonts w:cs="Arial"/>
                <w:b/>
                <w:bCs/>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1C2D44C" w14:textId="77777777" w:rsidR="009F21DD" w:rsidRPr="00B42A88" w:rsidRDefault="009F21DD" w:rsidP="009F21DD">
            <w:pPr>
              <w:spacing w:after="0"/>
              <w:jc w:val="center"/>
              <w:rPr>
                <w:rFonts w:cs="Arial"/>
                <w:b/>
                <w:bCs/>
              </w:rPr>
            </w:pPr>
            <w:r w:rsidRPr="00B42A88">
              <w:rPr>
                <w:rFonts w:cs="Arial"/>
                <w:b/>
                <w:bCs/>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A5736F6" w14:textId="77777777" w:rsidR="009F21DD" w:rsidRPr="00B42A88" w:rsidRDefault="009F21DD" w:rsidP="009F21DD">
            <w:pPr>
              <w:spacing w:after="0"/>
              <w:jc w:val="center"/>
              <w:rPr>
                <w:rFonts w:cs="Arial"/>
                <w:b/>
                <w:bCs/>
              </w:rPr>
            </w:pPr>
            <w:r w:rsidRPr="00B42A88">
              <w:rPr>
                <w:rFonts w:cs="Arial"/>
                <w:b/>
                <w:bCs/>
              </w:rPr>
              <w:t>£'000</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3EE43C8E" w14:textId="77777777" w:rsidR="009F21DD" w:rsidRPr="00B42A88" w:rsidRDefault="009F21DD" w:rsidP="009F21DD">
            <w:pPr>
              <w:spacing w:after="0"/>
              <w:jc w:val="center"/>
              <w:rPr>
                <w:rFonts w:cs="Arial"/>
                <w:b/>
                <w:bCs/>
              </w:rPr>
            </w:pPr>
            <w:r w:rsidRPr="00B42A88">
              <w:rPr>
                <w:rFonts w:cs="Arial"/>
                <w:b/>
                <w:bCs/>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4F3EE79" w14:textId="77777777" w:rsidR="009F21DD" w:rsidRPr="00B42A88" w:rsidRDefault="009F21DD" w:rsidP="009F21DD">
            <w:pPr>
              <w:spacing w:after="0"/>
              <w:jc w:val="center"/>
              <w:rPr>
                <w:rFonts w:cs="Arial"/>
                <w:b/>
                <w:bCs/>
              </w:rPr>
            </w:pPr>
            <w:r w:rsidRPr="00B42A88">
              <w:rPr>
                <w:rFonts w:cs="Arial"/>
                <w:b/>
                <w:bCs/>
              </w:rPr>
              <w:t>£'000</w:t>
            </w:r>
          </w:p>
        </w:tc>
      </w:tr>
      <w:tr w:rsidR="009F21DD" w:rsidRPr="00294B41" w14:paraId="4C024DE2" w14:textId="77777777" w:rsidTr="009F21DD">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6CD03AEC" w14:textId="77777777" w:rsidR="009F21DD" w:rsidRPr="00B42A88" w:rsidRDefault="009F21DD" w:rsidP="009F21DD">
            <w:pPr>
              <w:spacing w:after="0"/>
              <w:rPr>
                <w:rFonts w:cs="Arial"/>
                <w:b/>
                <w:bCs/>
              </w:rPr>
            </w:pPr>
            <w:r w:rsidRPr="00B42A88">
              <w:rPr>
                <w:rFonts w:cs="Arial"/>
                <w:b/>
                <w:bCs/>
              </w:rPr>
              <w:t>Operating entities</w:t>
            </w:r>
          </w:p>
        </w:tc>
        <w:tc>
          <w:tcPr>
            <w:tcW w:w="1240" w:type="dxa"/>
            <w:tcBorders>
              <w:top w:val="nil"/>
              <w:left w:val="nil"/>
              <w:bottom w:val="single" w:sz="4" w:space="0" w:color="auto"/>
              <w:right w:val="single" w:sz="4" w:space="0" w:color="auto"/>
            </w:tcBorders>
            <w:shd w:val="clear" w:color="auto" w:fill="auto"/>
            <w:noWrap/>
            <w:vAlign w:val="center"/>
            <w:hideMark/>
          </w:tcPr>
          <w:p w14:paraId="0B716992"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8EBC701"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3E3759"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75DE1DD5"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52B5FAD" w14:textId="77777777" w:rsidR="009F21DD" w:rsidRPr="00B42A88" w:rsidRDefault="009F21DD" w:rsidP="009F21DD">
            <w:pPr>
              <w:spacing w:after="0"/>
              <w:rPr>
                <w:rFonts w:cs="Arial"/>
              </w:rPr>
            </w:pPr>
            <w:r w:rsidRPr="00B42A88">
              <w:rPr>
                <w:rFonts w:cs="Arial"/>
              </w:rPr>
              <w:t> </w:t>
            </w:r>
          </w:p>
        </w:tc>
      </w:tr>
      <w:tr w:rsidR="009F21DD" w:rsidRPr="00294B41" w14:paraId="3E4B5C8A"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0F72AF5F" w14:textId="77777777" w:rsidR="009F21DD" w:rsidRPr="00B42A88" w:rsidRDefault="009F21DD" w:rsidP="009F21DD">
            <w:pPr>
              <w:spacing w:after="0"/>
              <w:rPr>
                <w:rFonts w:cs="Arial"/>
              </w:rPr>
            </w:pPr>
            <w:r w:rsidRPr="00B42A88">
              <w:rPr>
                <w:rFonts w:cs="Arial"/>
              </w:rPr>
              <w:t>LGA</w:t>
            </w:r>
          </w:p>
        </w:tc>
        <w:tc>
          <w:tcPr>
            <w:tcW w:w="1240" w:type="dxa"/>
            <w:tcBorders>
              <w:top w:val="nil"/>
              <w:left w:val="nil"/>
              <w:bottom w:val="single" w:sz="4" w:space="0" w:color="auto"/>
              <w:right w:val="single" w:sz="4" w:space="0" w:color="auto"/>
            </w:tcBorders>
            <w:shd w:val="clear" w:color="auto" w:fill="auto"/>
            <w:noWrap/>
            <w:vAlign w:val="center"/>
            <w:hideMark/>
          </w:tcPr>
          <w:p w14:paraId="3DBE81F0" w14:textId="77777777" w:rsidR="009F21DD" w:rsidRPr="00B42A88" w:rsidRDefault="009F21DD" w:rsidP="009F21DD">
            <w:pPr>
              <w:spacing w:after="0"/>
              <w:jc w:val="right"/>
              <w:rPr>
                <w:rFonts w:cs="Arial"/>
              </w:rPr>
            </w:pPr>
            <w:r w:rsidRPr="00B42A88">
              <w:rPr>
                <w:rFonts w:cs="Arial"/>
                <w:color w:val="000000"/>
              </w:rPr>
              <w:t>(115)</w:t>
            </w:r>
          </w:p>
        </w:tc>
        <w:tc>
          <w:tcPr>
            <w:tcW w:w="1240" w:type="dxa"/>
            <w:tcBorders>
              <w:top w:val="nil"/>
              <w:left w:val="nil"/>
              <w:bottom w:val="single" w:sz="4" w:space="0" w:color="auto"/>
              <w:right w:val="single" w:sz="4" w:space="0" w:color="auto"/>
            </w:tcBorders>
            <w:shd w:val="clear" w:color="auto" w:fill="auto"/>
            <w:noWrap/>
            <w:vAlign w:val="center"/>
            <w:hideMark/>
          </w:tcPr>
          <w:p w14:paraId="508BB764" w14:textId="77777777" w:rsidR="009F21DD" w:rsidRPr="00B42A88" w:rsidRDefault="009F21DD" w:rsidP="009F21DD">
            <w:pPr>
              <w:spacing w:after="0"/>
              <w:jc w:val="right"/>
              <w:rPr>
                <w:rFonts w:cs="Arial"/>
              </w:rPr>
            </w:pPr>
            <w:r w:rsidRPr="00B42A88">
              <w:rPr>
                <w:rFonts w:cs="Arial"/>
                <w:color w:val="000000"/>
              </w:rPr>
              <w:t>(1,210)</w:t>
            </w:r>
          </w:p>
        </w:tc>
        <w:tc>
          <w:tcPr>
            <w:tcW w:w="1240" w:type="dxa"/>
            <w:tcBorders>
              <w:top w:val="nil"/>
              <w:left w:val="nil"/>
              <w:bottom w:val="single" w:sz="4" w:space="0" w:color="auto"/>
              <w:right w:val="single" w:sz="4" w:space="0" w:color="auto"/>
            </w:tcBorders>
            <w:shd w:val="clear" w:color="auto" w:fill="auto"/>
            <w:noWrap/>
            <w:vAlign w:val="center"/>
            <w:hideMark/>
          </w:tcPr>
          <w:p w14:paraId="1B07640D" w14:textId="77777777" w:rsidR="009F21DD" w:rsidRPr="00B42A88" w:rsidRDefault="009F21DD" w:rsidP="009F21DD">
            <w:pPr>
              <w:spacing w:after="0"/>
              <w:jc w:val="right"/>
              <w:rPr>
                <w:rFonts w:cs="Arial"/>
              </w:rPr>
            </w:pPr>
            <w:r w:rsidRPr="00B42A88">
              <w:rPr>
                <w:rFonts w:cs="Arial"/>
                <w:color w:val="000000"/>
              </w:rPr>
              <w:t>(1,262)</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05960FB5" w14:textId="77777777" w:rsidR="009F21DD" w:rsidRPr="00B42A88" w:rsidRDefault="009F21DD" w:rsidP="009F21DD">
            <w:pPr>
              <w:spacing w:after="0"/>
              <w:jc w:val="right"/>
              <w:rPr>
                <w:rFonts w:cs="Arial"/>
              </w:rPr>
            </w:pPr>
            <w:r w:rsidRPr="00B42A88">
              <w:rPr>
                <w:rFonts w:cs="Arial"/>
                <w:color w:val="000000"/>
              </w:rPr>
              <w:t>(793)</w:t>
            </w:r>
          </w:p>
        </w:tc>
        <w:tc>
          <w:tcPr>
            <w:tcW w:w="1240" w:type="dxa"/>
            <w:tcBorders>
              <w:top w:val="nil"/>
              <w:left w:val="nil"/>
              <w:bottom w:val="single" w:sz="4" w:space="0" w:color="auto"/>
              <w:right w:val="single" w:sz="4" w:space="0" w:color="auto"/>
            </w:tcBorders>
            <w:shd w:val="clear" w:color="auto" w:fill="auto"/>
            <w:noWrap/>
            <w:vAlign w:val="center"/>
            <w:hideMark/>
          </w:tcPr>
          <w:p w14:paraId="68E54315" w14:textId="77777777" w:rsidR="009F21DD" w:rsidRPr="00B42A88" w:rsidRDefault="009F21DD" w:rsidP="009F21DD">
            <w:pPr>
              <w:spacing w:after="0"/>
              <w:jc w:val="right"/>
              <w:rPr>
                <w:rFonts w:cs="Arial"/>
              </w:rPr>
            </w:pPr>
            <w:r w:rsidRPr="00B42A88">
              <w:rPr>
                <w:rFonts w:cs="Arial"/>
                <w:color w:val="000000"/>
              </w:rPr>
              <w:t>(632)</w:t>
            </w:r>
          </w:p>
        </w:tc>
      </w:tr>
      <w:tr w:rsidR="009F21DD" w:rsidRPr="00294B41" w14:paraId="7704B2C2" w14:textId="77777777" w:rsidTr="009F21DD">
        <w:trPr>
          <w:trHeight w:val="825"/>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6C29E0CA" w14:textId="77777777" w:rsidR="009F21DD" w:rsidRPr="00B42A88" w:rsidRDefault="009F21DD" w:rsidP="009F21DD">
            <w:pPr>
              <w:spacing w:after="0"/>
              <w:rPr>
                <w:rFonts w:cs="Arial"/>
              </w:rPr>
            </w:pPr>
            <w:r w:rsidRPr="00B42A88">
              <w:rPr>
                <w:rFonts w:cs="Arial"/>
              </w:rPr>
              <w:t>Contribution to Pensions Deficits</w:t>
            </w:r>
          </w:p>
        </w:tc>
        <w:tc>
          <w:tcPr>
            <w:tcW w:w="1240" w:type="dxa"/>
            <w:tcBorders>
              <w:top w:val="nil"/>
              <w:left w:val="nil"/>
              <w:bottom w:val="single" w:sz="4" w:space="0" w:color="auto"/>
              <w:right w:val="single" w:sz="4" w:space="0" w:color="auto"/>
            </w:tcBorders>
            <w:shd w:val="clear" w:color="auto" w:fill="auto"/>
            <w:noWrap/>
            <w:vAlign w:val="center"/>
            <w:hideMark/>
          </w:tcPr>
          <w:p w14:paraId="1DA18A3D" w14:textId="77777777" w:rsidR="009F21DD" w:rsidRPr="00B42A88" w:rsidRDefault="009F21DD" w:rsidP="009F21DD">
            <w:pPr>
              <w:spacing w:after="0"/>
              <w:jc w:val="right"/>
              <w:rPr>
                <w:rFonts w:cs="Arial"/>
              </w:rPr>
            </w:pPr>
            <w:r w:rsidRPr="00B42A88">
              <w:rPr>
                <w:rFonts w:cs="Arial"/>
              </w:rPr>
              <w:t>0</w:t>
            </w:r>
          </w:p>
        </w:tc>
        <w:tc>
          <w:tcPr>
            <w:tcW w:w="1240" w:type="dxa"/>
            <w:tcBorders>
              <w:top w:val="nil"/>
              <w:left w:val="nil"/>
              <w:bottom w:val="single" w:sz="4" w:space="0" w:color="auto"/>
              <w:right w:val="single" w:sz="4" w:space="0" w:color="auto"/>
            </w:tcBorders>
            <w:shd w:val="clear" w:color="auto" w:fill="auto"/>
            <w:noWrap/>
            <w:vAlign w:val="center"/>
            <w:hideMark/>
          </w:tcPr>
          <w:p w14:paraId="59410C84" w14:textId="77777777" w:rsidR="009F21DD" w:rsidRPr="00B42A88" w:rsidRDefault="009F21DD" w:rsidP="009F21DD">
            <w:pPr>
              <w:spacing w:after="0"/>
              <w:jc w:val="right"/>
              <w:rPr>
                <w:rFonts w:cs="Arial"/>
              </w:rPr>
            </w:pPr>
            <w:r w:rsidRPr="00B42A88">
              <w:rPr>
                <w:rFonts w:cs="Arial"/>
              </w:rPr>
              <w:t>0</w:t>
            </w:r>
          </w:p>
        </w:tc>
        <w:tc>
          <w:tcPr>
            <w:tcW w:w="1240" w:type="dxa"/>
            <w:tcBorders>
              <w:top w:val="nil"/>
              <w:left w:val="nil"/>
              <w:bottom w:val="single" w:sz="4" w:space="0" w:color="auto"/>
              <w:right w:val="single" w:sz="4" w:space="0" w:color="auto"/>
            </w:tcBorders>
            <w:shd w:val="clear" w:color="auto" w:fill="auto"/>
            <w:noWrap/>
            <w:vAlign w:val="center"/>
            <w:hideMark/>
          </w:tcPr>
          <w:p w14:paraId="2F8A134C" w14:textId="77777777" w:rsidR="009F21DD" w:rsidRPr="00B42A88" w:rsidRDefault="009F21DD" w:rsidP="009F21DD">
            <w:pPr>
              <w:spacing w:after="0"/>
              <w:jc w:val="right"/>
              <w:rPr>
                <w:rFonts w:cs="Arial"/>
              </w:rPr>
            </w:pPr>
            <w:r w:rsidRPr="00B42A88">
              <w:rPr>
                <w:rFonts w:cs="Arial"/>
              </w:rPr>
              <w:t>1,114</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5F13214D" w14:textId="77777777" w:rsidR="009F21DD" w:rsidRPr="00B42A88" w:rsidRDefault="009F21DD" w:rsidP="009F21DD">
            <w:pPr>
              <w:spacing w:after="0"/>
              <w:jc w:val="right"/>
              <w:rPr>
                <w:rFonts w:cs="Arial"/>
              </w:rPr>
            </w:pPr>
            <w:r w:rsidRPr="00B42A88">
              <w:rPr>
                <w:rFonts w:cs="Arial"/>
              </w:rPr>
              <w:t>1,155</w:t>
            </w:r>
          </w:p>
        </w:tc>
        <w:tc>
          <w:tcPr>
            <w:tcW w:w="1240" w:type="dxa"/>
            <w:tcBorders>
              <w:top w:val="nil"/>
              <w:left w:val="nil"/>
              <w:bottom w:val="single" w:sz="4" w:space="0" w:color="auto"/>
              <w:right w:val="single" w:sz="4" w:space="0" w:color="auto"/>
            </w:tcBorders>
            <w:shd w:val="clear" w:color="auto" w:fill="auto"/>
            <w:noWrap/>
            <w:vAlign w:val="center"/>
            <w:hideMark/>
          </w:tcPr>
          <w:p w14:paraId="7BF166E1" w14:textId="77777777" w:rsidR="009F21DD" w:rsidRPr="00B42A88" w:rsidRDefault="009F21DD" w:rsidP="009F21DD">
            <w:pPr>
              <w:spacing w:after="0"/>
              <w:jc w:val="right"/>
              <w:rPr>
                <w:rFonts w:cs="Arial"/>
              </w:rPr>
            </w:pPr>
            <w:r w:rsidRPr="00B42A88">
              <w:rPr>
                <w:rFonts w:cs="Arial"/>
              </w:rPr>
              <w:t>1,198</w:t>
            </w:r>
          </w:p>
        </w:tc>
      </w:tr>
      <w:tr w:rsidR="009F21DD" w:rsidRPr="00294B41" w14:paraId="5096EA5E" w14:textId="77777777" w:rsidTr="009F21DD">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A4AA169" w14:textId="77777777" w:rsidR="009F21DD" w:rsidRPr="00B42A88" w:rsidRDefault="009F21DD" w:rsidP="009F21DD">
            <w:pPr>
              <w:spacing w:after="0"/>
              <w:ind w:firstLineChars="100" w:firstLine="221"/>
              <w:rPr>
                <w:rFonts w:cs="Arial"/>
                <w:b/>
                <w:bCs/>
              </w:rPr>
            </w:pPr>
            <w:r w:rsidRPr="00B42A88">
              <w:rPr>
                <w:rFonts w:cs="Arial"/>
                <w:b/>
                <w:bCs/>
              </w:rPr>
              <w:t>LGA Total</w:t>
            </w:r>
          </w:p>
        </w:tc>
        <w:tc>
          <w:tcPr>
            <w:tcW w:w="1240" w:type="dxa"/>
            <w:tcBorders>
              <w:top w:val="nil"/>
              <w:left w:val="nil"/>
              <w:bottom w:val="single" w:sz="4" w:space="0" w:color="auto"/>
              <w:right w:val="single" w:sz="4" w:space="0" w:color="auto"/>
            </w:tcBorders>
            <w:shd w:val="clear" w:color="auto" w:fill="auto"/>
            <w:noWrap/>
            <w:vAlign w:val="center"/>
            <w:hideMark/>
          </w:tcPr>
          <w:p w14:paraId="6C1EE008" w14:textId="77777777" w:rsidR="009F21DD" w:rsidRPr="00B42A88" w:rsidRDefault="009F21DD" w:rsidP="009F21DD">
            <w:pPr>
              <w:spacing w:after="0"/>
              <w:jc w:val="right"/>
              <w:rPr>
                <w:rFonts w:cs="Arial"/>
              </w:rPr>
            </w:pPr>
            <w:r w:rsidRPr="00B42A88">
              <w:rPr>
                <w:rFonts w:cs="Arial"/>
                <w:color w:val="000000"/>
              </w:rPr>
              <w:t>(115)</w:t>
            </w:r>
          </w:p>
        </w:tc>
        <w:tc>
          <w:tcPr>
            <w:tcW w:w="1240" w:type="dxa"/>
            <w:tcBorders>
              <w:top w:val="nil"/>
              <w:left w:val="nil"/>
              <w:bottom w:val="single" w:sz="4" w:space="0" w:color="auto"/>
              <w:right w:val="single" w:sz="4" w:space="0" w:color="auto"/>
            </w:tcBorders>
            <w:shd w:val="clear" w:color="auto" w:fill="auto"/>
            <w:noWrap/>
            <w:vAlign w:val="center"/>
            <w:hideMark/>
          </w:tcPr>
          <w:p w14:paraId="77857728" w14:textId="77777777" w:rsidR="009F21DD" w:rsidRPr="00B42A88" w:rsidRDefault="009F21DD" w:rsidP="009F21DD">
            <w:pPr>
              <w:spacing w:after="0"/>
              <w:jc w:val="right"/>
              <w:rPr>
                <w:rFonts w:cs="Arial"/>
              </w:rPr>
            </w:pPr>
            <w:r w:rsidRPr="00B42A88">
              <w:rPr>
                <w:rFonts w:cs="Arial"/>
                <w:color w:val="000000"/>
              </w:rPr>
              <w:t>(1,210)</w:t>
            </w:r>
          </w:p>
        </w:tc>
        <w:tc>
          <w:tcPr>
            <w:tcW w:w="1240" w:type="dxa"/>
            <w:tcBorders>
              <w:top w:val="nil"/>
              <w:left w:val="nil"/>
              <w:bottom w:val="single" w:sz="4" w:space="0" w:color="auto"/>
              <w:right w:val="single" w:sz="4" w:space="0" w:color="auto"/>
            </w:tcBorders>
            <w:shd w:val="clear" w:color="auto" w:fill="auto"/>
            <w:noWrap/>
            <w:vAlign w:val="center"/>
            <w:hideMark/>
          </w:tcPr>
          <w:p w14:paraId="56393B3B" w14:textId="77777777" w:rsidR="009F21DD" w:rsidRPr="00B42A88" w:rsidRDefault="009F21DD" w:rsidP="009F21DD">
            <w:pPr>
              <w:spacing w:after="0"/>
              <w:jc w:val="right"/>
              <w:rPr>
                <w:rFonts w:cs="Arial"/>
              </w:rPr>
            </w:pPr>
            <w:r w:rsidRPr="00B42A88">
              <w:rPr>
                <w:rFonts w:cs="Arial"/>
                <w:color w:val="000000"/>
              </w:rPr>
              <w:t>(148)</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6CA23074" w14:textId="77777777" w:rsidR="009F21DD" w:rsidRPr="00B42A88" w:rsidRDefault="009F21DD" w:rsidP="009F21DD">
            <w:pPr>
              <w:spacing w:after="0"/>
              <w:jc w:val="right"/>
              <w:rPr>
                <w:rFonts w:cs="Arial"/>
              </w:rPr>
            </w:pPr>
            <w:r w:rsidRPr="00B42A88">
              <w:rPr>
                <w:rFonts w:cs="Arial"/>
              </w:rPr>
              <w:t>362</w:t>
            </w:r>
          </w:p>
        </w:tc>
        <w:tc>
          <w:tcPr>
            <w:tcW w:w="1240" w:type="dxa"/>
            <w:tcBorders>
              <w:top w:val="nil"/>
              <w:left w:val="nil"/>
              <w:bottom w:val="single" w:sz="4" w:space="0" w:color="auto"/>
              <w:right w:val="single" w:sz="4" w:space="0" w:color="auto"/>
            </w:tcBorders>
            <w:shd w:val="clear" w:color="auto" w:fill="auto"/>
            <w:noWrap/>
            <w:vAlign w:val="center"/>
            <w:hideMark/>
          </w:tcPr>
          <w:p w14:paraId="2529D32B" w14:textId="77777777" w:rsidR="009F21DD" w:rsidRPr="00B42A88" w:rsidRDefault="009F21DD" w:rsidP="009F21DD">
            <w:pPr>
              <w:spacing w:after="0"/>
              <w:jc w:val="right"/>
              <w:rPr>
                <w:rFonts w:cs="Arial"/>
              </w:rPr>
            </w:pPr>
            <w:r w:rsidRPr="00B42A88">
              <w:rPr>
                <w:rFonts w:cs="Arial"/>
              </w:rPr>
              <w:t>566</w:t>
            </w:r>
          </w:p>
        </w:tc>
      </w:tr>
      <w:tr w:rsidR="009F21DD" w:rsidRPr="00294B41" w14:paraId="018D4723"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8A9F882" w14:textId="77777777" w:rsidR="009F21DD" w:rsidRPr="00B42A88" w:rsidRDefault="009F21DD" w:rsidP="009F21DD">
            <w:pPr>
              <w:spacing w:after="0"/>
              <w:rPr>
                <w:rFonts w:cs="Arial"/>
              </w:rPr>
            </w:pPr>
            <w:r w:rsidRPr="00B42A88">
              <w:rPr>
                <w:rFonts w:cs="Arial"/>
              </w:rPr>
              <w:t>IDEA</w:t>
            </w:r>
          </w:p>
        </w:tc>
        <w:tc>
          <w:tcPr>
            <w:tcW w:w="1240" w:type="dxa"/>
            <w:tcBorders>
              <w:top w:val="nil"/>
              <w:left w:val="nil"/>
              <w:bottom w:val="single" w:sz="4" w:space="0" w:color="auto"/>
              <w:right w:val="single" w:sz="4" w:space="0" w:color="auto"/>
            </w:tcBorders>
            <w:shd w:val="clear" w:color="auto" w:fill="auto"/>
            <w:noWrap/>
            <w:vAlign w:val="center"/>
            <w:hideMark/>
          </w:tcPr>
          <w:p w14:paraId="3BAF5D55" w14:textId="77777777" w:rsidR="009F21DD" w:rsidRPr="00B42A88" w:rsidRDefault="009F21DD" w:rsidP="009F21DD">
            <w:pPr>
              <w:spacing w:after="0"/>
              <w:jc w:val="right"/>
              <w:rPr>
                <w:rFonts w:cs="Arial"/>
              </w:rPr>
            </w:pPr>
            <w:r w:rsidRPr="00B42A88">
              <w:rPr>
                <w:rFonts w:cs="Arial"/>
                <w:color w:val="000000"/>
              </w:rPr>
              <w:t>(4,064)</w:t>
            </w:r>
          </w:p>
        </w:tc>
        <w:tc>
          <w:tcPr>
            <w:tcW w:w="1240" w:type="dxa"/>
            <w:tcBorders>
              <w:top w:val="nil"/>
              <w:left w:val="nil"/>
              <w:bottom w:val="single" w:sz="4" w:space="0" w:color="auto"/>
              <w:right w:val="single" w:sz="4" w:space="0" w:color="auto"/>
            </w:tcBorders>
            <w:shd w:val="clear" w:color="auto" w:fill="auto"/>
            <w:noWrap/>
            <w:vAlign w:val="center"/>
            <w:hideMark/>
          </w:tcPr>
          <w:p w14:paraId="519C5201" w14:textId="77777777" w:rsidR="009F21DD" w:rsidRPr="00B42A88" w:rsidRDefault="009F21DD" w:rsidP="009F21DD">
            <w:pPr>
              <w:spacing w:after="0"/>
              <w:jc w:val="right"/>
              <w:rPr>
                <w:rFonts w:cs="Arial"/>
              </w:rPr>
            </w:pPr>
            <w:r w:rsidRPr="00B42A88">
              <w:rPr>
                <w:rFonts w:cs="Arial"/>
                <w:color w:val="000000"/>
              </w:rPr>
              <w:t>(4,631)</w:t>
            </w:r>
          </w:p>
        </w:tc>
        <w:tc>
          <w:tcPr>
            <w:tcW w:w="1240" w:type="dxa"/>
            <w:tcBorders>
              <w:top w:val="nil"/>
              <w:left w:val="nil"/>
              <w:bottom w:val="single" w:sz="4" w:space="0" w:color="auto"/>
              <w:right w:val="single" w:sz="4" w:space="0" w:color="auto"/>
            </w:tcBorders>
            <w:shd w:val="clear" w:color="auto" w:fill="auto"/>
            <w:noWrap/>
            <w:vAlign w:val="center"/>
            <w:hideMark/>
          </w:tcPr>
          <w:p w14:paraId="7502DF2E" w14:textId="77777777" w:rsidR="009F21DD" w:rsidRPr="00B42A88" w:rsidRDefault="009F21DD" w:rsidP="009F21DD">
            <w:pPr>
              <w:spacing w:after="0"/>
              <w:jc w:val="right"/>
              <w:rPr>
                <w:rFonts w:cs="Arial"/>
              </w:rPr>
            </w:pPr>
            <w:r w:rsidRPr="00B42A88">
              <w:rPr>
                <w:rFonts w:cs="Arial"/>
                <w:color w:val="000000"/>
              </w:rPr>
              <w:t>(4,496)</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0A38DA5B" w14:textId="77777777" w:rsidR="009F21DD" w:rsidRPr="00B42A88" w:rsidRDefault="009F21DD" w:rsidP="009F21DD">
            <w:pPr>
              <w:spacing w:after="0"/>
              <w:jc w:val="right"/>
              <w:rPr>
                <w:rFonts w:cs="Arial"/>
              </w:rPr>
            </w:pPr>
            <w:r w:rsidRPr="00B42A88">
              <w:rPr>
                <w:rFonts w:cs="Arial"/>
                <w:color w:val="000000"/>
              </w:rPr>
              <w:t>(4,228)</w:t>
            </w:r>
          </w:p>
        </w:tc>
        <w:tc>
          <w:tcPr>
            <w:tcW w:w="1240" w:type="dxa"/>
            <w:tcBorders>
              <w:top w:val="nil"/>
              <w:left w:val="nil"/>
              <w:bottom w:val="single" w:sz="4" w:space="0" w:color="auto"/>
              <w:right w:val="single" w:sz="4" w:space="0" w:color="auto"/>
            </w:tcBorders>
            <w:shd w:val="clear" w:color="auto" w:fill="auto"/>
            <w:noWrap/>
            <w:vAlign w:val="center"/>
            <w:hideMark/>
          </w:tcPr>
          <w:p w14:paraId="421D853D" w14:textId="77777777" w:rsidR="009F21DD" w:rsidRPr="00B42A88" w:rsidRDefault="009F21DD" w:rsidP="009F21DD">
            <w:pPr>
              <w:spacing w:after="0"/>
              <w:jc w:val="right"/>
              <w:rPr>
                <w:rFonts w:cs="Arial"/>
              </w:rPr>
            </w:pPr>
            <w:r w:rsidRPr="00B42A88">
              <w:rPr>
                <w:rFonts w:cs="Arial"/>
                <w:color w:val="000000"/>
              </w:rPr>
              <w:t>(3,906)</w:t>
            </w:r>
          </w:p>
        </w:tc>
      </w:tr>
      <w:tr w:rsidR="009F21DD" w:rsidRPr="00294B41" w14:paraId="45ED4E8E" w14:textId="77777777" w:rsidTr="009F21DD">
        <w:trPr>
          <w:trHeight w:val="6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3EEB241" w14:textId="77777777" w:rsidR="009F21DD" w:rsidRPr="00B42A88" w:rsidRDefault="009F21DD" w:rsidP="009F21DD">
            <w:pPr>
              <w:spacing w:after="0"/>
              <w:rPr>
                <w:rFonts w:cs="Arial"/>
              </w:rPr>
            </w:pPr>
            <w:r w:rsidRPr="00B42A88">
              <w:rPr>
                <w:rFonts w:cs="Arial"/>
              </w:rPr>
              <w:t>Contribution to Pensions Deficits</w:t>
            </w:r>
          </w:p>
        </w:tc>
        <w:tc>
          <w:tcPr>
            <w:tcW w:w="1240" w:type="dxa"/>
            <w:tcBorders>
              <w:top w:val="nil"/>
              <w:left w:val="nil"/>
              <w:bottom w:val="single" w:sz="4" w:space="0" w:color="auto"/>
              <w:right w:val="single" w:sz="4" w:space="0" w:color="auto"/>
            </w:tcBorders>
            <w:shd w:val="clear" w:color="auto" w:fill="auto"/>
            <w:noWrap/>
            <w:vAlign w:val="center"/>
            <w:hideMark/>
          </w:tcPr>
          <w:p w14:paraId="1739255C" w14:textId="77777777" w:rsidR="009F21DD" w:rsidRPr="00B42A88" w:rsidRDefault="009F21DD" w:rsidP="009F21DD">
            <w:pPr>
              <w:spacing w:after="0"/>
              <w:jc w:val="right"/>
              <w:rPr>
                <w:rFonts w:cs="Arial"/>
              </w:rPr>
            </w:pPr>
            <w:r w:rsidRPr="00B42A88">
              <w:rPr>
                <w:rFonts w:cs="Arial"/>
              </w:rPr>
              <w:t>2,647</w:t>
            </w:r>
          </w:p>
        </w:tc>
        <w:tc>
          <w:tcPr>
            <w:tcW w:w="1240" w:type="dxa"/>
            <w:tcBorders>
              <w:top w:val="nil"/>
              <w:left w:val="nil"/>
              <w:bottom w:val="single" w:sz="4" w:space="0" w:color="auto"/>
              <w:right w:val="single" w:sz="4" w:space="0" w:color="auto"/>
            </w:tcBorders>
            <w:shd w:val="clear" w:color="auto" w:fill="auto"/>
            <w:noWrap/>
            <w:vAlign w:val="center"/>
            <w:hideMark/>
          </w:tcPr>
          <w:p w14:paraId="065AECD1" w14:textId="77777777" w:rsidR="009F21DD" w:rsidRPr="00B42A88" w:rsidRDefault="009F21DD" w:rsidP="009F21DD">
            <w:pPr>
              <w:spacing w:after="0"/>
              <w:jc w:val="right"/>
              <w:rPr>
                <w:rFonts w:cs="Arial"/>
              </w:rPr>
            </w:pPr>
            <w:r w:rsidRPr="00B42A88">
              <w:rPr>
                <w:rFonts w:cs="Arial"/>
              </w:rPr>
              <w:t>2,647</w:t>
            </w:r>
          </w:p>
        </w:tc>
        <w:tc>
          <w:tcPr>
            <w:tcW w:w="1240" w:type="dxa"/>
            <w:tcBorders>
              <w:top w:val="nil"/>
              <w:left w:val="nil"/>
              <w:bottom w:val="single" w:sz="4" w:space="0" w:color="auto"/>
              <w:right w:val="single" w:sz="4" w:space="0" w:color="auto"/>
            </w:tcBorders>
            <w:shd w:val="clear" w:color="auto" w:fill="auto"/>
            <w:noWrap/>
            <w:vAlign w:val="center"/>
            <w:hideMark/>
          </w:tcPr>
          <w:p w14:paraId="693BB419" w14:textId="77777777" w:rsidR="009F21DD" w:rsidRPr="00B42A88" w:rsidRDefault="009F21DD" w:rsidP="009F21DD">
            <w:pPr>
              <w:spacing w:after="0"/>
              <w:jc w:val="right"/>
              <w:rPr>
                <w:rFonts w:cs="Arial"/>
              </w:rPr>
            </w:pPr>
            <w:r w:rsidRPr="00B42A88">
              <w:rPr>
                <w:rFonts w:cs="Arial"/>
              </w:rPr>
              <w:t>2,418</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3279250C" w14:textId="77777777" w:rsidR="009F21DD" w:rsidRPr="00B42A88" w:rsidRDefault="009F21DD" w:rsidP="009F21DD">
            <w:pPr>
              <w:spacing w:after="0"/>
              <w:jc w:val="right"/>
              <w:rPr>
                <w:rFonts w:cs="Arial"/>
              </w:rPr>
            </w:pPr>
            <w:r w:rsidRPr="00B42A88">
              <w:rPr>
                <w:rFonts w:cs="Arial"/>
              </w:rPr>
              <w:t>2,485</w:t>
            </w:r>
          </w:p>
        </w:tc>
        <w:tc>
          <w:tcPr>
            <w:tcW w:w="1240" w:type="dxa"/>
            <w:tcBorders>
              <w:top w:val="nil"/>
              <w:left w:val="nil"/>
              <w:bottom w:val="single" w:sz="4" w:space="0" w:color="auto"/>
              <w:right w:val="single" w:sz="4" w:space="0" w:color="auto"/>
            </w:tcBorders>
            <w:shd w:val="clear" w:color="auto" w:fill="auto"/>
            <w:noWrap/>
            <w:vAlign w:val="center"/>
            <w:hideMark/>
          </w:tcPr>
          <w:p w14:paraId="6C8F0630" w14:textId="77777777" w:rsidR="009F21DD" w:rsidRPr="00B42A88" w:rsidRDefault="009F21DD" w:rsidP="009F21DD">
            <w:pPr>
              <w:spacing w:after="0"/>
              <w:jc w:val="right"/>
              <w:rPr>
                <w:rFonts w:cs="Arial"/>
              </w:rPr>
            </w:pPr>
            <w:r w:rsidRPr="00B42A88">
              <w:rPr>
                <w:rFonts w:cs="Arial"/>
              </w:rPr>
              <w:t>2,553</w:t>
            </w:r>
          </w:p>
        </w:tc>
      </w:tr>
      <w:tr w:rsidR="009F21DD" w:rsidRPr="00294B41" w14:paraId="0E0E3F6B" w14:textId="77777777" w:rsidTr="009F21DD">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BEB85D0" w14:textId="77777777" w:rsidR="009F21DD" w:rsidRPr="00B42A88" w:rsidRDefault="009F21DD" w:rsidP="009F21DD">
            <w:pPr>
              <w:spacing w:after="0"/>
              <w:ind w:firstLineChars="100" w:firstLine="221"/>
              <w:rPr>
                <w:rFonts w:cs="Arial"/>
                <w:b/>
                <w:bCs/>
              </w:rPr>
            </w:pPr>
            <w:r w:rsidRPr="00B42A88">
              <w:rPr>
                <w:rFonts w:cs="Arial"/>
                <w:b/>
                <w:bCs/>
              </w:rPr>
              <w:t>IDEA Total</w:t>
            </w:r>
          </w:p>
        </w:tc>
        <w:tc>
          <w:tcPr>
            <w:tcW w:w="1240" w:type="dxa"/>
            <w:tcBorders>
              <w:top w:val="nil"/>
              <w:left w:val="nil"/>
              <w:bottom w:val="single" w:sz="4" w:space="0" w:color="auto"/>
              <w:right w:val="single" w:sz="4" w:space="0" w:color="auto"/>
            </w:tcBorders>
            <w:shd w:val="clear" w:color="auto" w:fill="auto"/>
            <w:noWrap/>
            <w:vAlign w:val="center"/>
            <w:hideMark/>
          </w:tcPr>
          <w:p w14:paraId="55794970" w14:textId="77777777" w:rsidR="009F21DD" w:rsidRPr="00B42A88" w:rsidRDefault="009F21DD" w:rsidP="009F21DD">
            <w:pPr>
              <w:spacing w:after="0"/>
              <w:jc w:val="right"/>
              <w:rPr>
                <w:rFonts w:cs="Arial"/>
              </w:rPr>
            </w:pPr>
            <w:r w:rsidRPr="00B42A88">
              <w:rPr>
                <w:rFonts w:cs="Arial"/>
                <w:color w:val="000000"/>
              </w:rPr>
              <w:t>(1,417)</w:t>
            </w:r>
          </w:p>
        </w:tc>
        <w:tc>
          <w:tcPr>
            <w:tcW w:w="1240" w:type="dxa"/>
            <w:tcBorders>
              <w:top w:val="nil"/>
              <w:left w:val="nil"/>
              <w:bottom w:val="single" w:sz="4" w:space="0" w:color="auto"/>
              <w:right w:val="single" w:sz="4" w:space="0" w:color="auto"/>
            </w:tcBorders>
            <w:shd w:val="clear" w:color="auto" w:fill="auto"/>
            <w:noWrap/>
            <w:vAlign w:val="center"/>
            <w:hideMark/>
          </w:tcPr>
          <w:p w14:paraId="29033577" w14:textId="77777777" w:rsidR="009F21DD" w:rsidRPr="00B42A88" w:rsidRDefault="009F21DD" w:rsidP="009F21DD">
            <w:pPr>
              <w:spacing w:after="0"/>
              <w:jc w:val="right"/>
              <w:rPr>
                <w:rFonts w:cs="Arial"/>
              </w:rPr>
            </w:pPr>
            <w:r w:rsidRPr="00B42A88">
              <w:rPr>
                <w:rFonts w:cs="Arial"/>
                <w:color w:val="000000"/>
              </w:rPr>
              <w:t>(1,984)</w:t>
            </w:r>
          </w:p>
        </w:tc>
        <w:tc>
          <w:tcPr>
            <w:tcW w:w="1240" w:type="dxa"/>
            <w:tcBorders>
              <w:top w:val="nil"/>
              <w:left w:val="nil"/>
              <w:bottom w:val="single" w:sz="4" w:space="0" w:color="auto"/>
              <w:right w:val="single" w:sz="4" w:space="0" w:color="auto"/>
            </w:tcBorders>
            <w:shd w:val="clear" w:color="auto" w:fill="auto"/>
            <w:noWrap/>
            <w:vAlign w:val="center"/>
            <w:hideMark/>
          </w:tcPr>
          <w:p w14:paraId="7B26DFA8" w14:textId="77777777" w:rsidR="009F21DD" w:rsidRPr="00B42A88" w:rsidRDefault="009F21DD" w:rsidP="009F21DD">
            <w:pPr>
              <w:spacing w:after="0"/>
              <w:jc w:val="right"/>
              <w:rPr>
                <w:rFonts w:cs="Arial"/>
              </w:rPr>
            </w:pPr>
            <w:r w:rsidRPr="00B42A88">
              <w:rPr>
                <w:rFonts w:cs="Arial"/>
                <w:color w:val="000000"/>
              </w:rPr>
              <w:t>(2,078)</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1D5F3089" w14:textId="77777777" w:rsidR="009F21DD" w:rsidRPr="00B42A88" w:rsidRDefault="009F21DD" w:rsidP="009F21DD">
            <w:pPr>
              <w:spacing w:after="0"/>
              <w:jc w:val="right"/>
              <w:rPr>
                <w:rFonts w:cs="Arial"/>
              </w:rPr>
            </w:pPr>
            <w:r w:rsidRPr="00B42A88">
              <w:rPr>
                <w:rFonts w:cs="Arial"/>
                <w:color w:val="000000"/>
              </w:rPr>
              <w:t>(1,743)</w:t>
            </w:r>
          </w:p>
        </w:tc>
        <w:tc>
          <w:tcPr>
            <w:tcW w:w="1240" w:type="dxa"/>
            <w:tcBorders>
              <w:top w:val="nil"/>
              <w:left w:val="nil"/>
              <w:bottom w:val="single" w:sz="4" w:space="0" w:color="auto"/>
              <w:right w:val="single" w:sz="4" w:space="0" w:color="auto"/>
            </w:tcBorders>
            <w:shd w:val="clear" w:color="auto" w:fill="auto"/>
            <w:noWrap/>
            <w:vAlign w:val="center"/>
            <w:hideMark/>
          </w:tcPr>
          <w:p w14:paraId="67D5BF06" w14:textId="77777777" w:rsidR="009F21DD" w:rsidRPr="00B42A88" w:rsidRDefault="009F21DD" w:rsidP="009F21DD">
            <w:pPr>
              <w:spacing w:after="0"/>
              <w:jc w:val="right"/>
              <w:rPr>
                <w:rFonts w:cs="Arial"/>
              </w:rPr>
            </w:pPr>
            <w:r w:rsidRPr="00B42A88">
              <w:rPr>
                <w:rFonts w:cs="Arial"/>
                <w:color w:val="000000"/>
              </w:rPr>
              <w:t>(1,353)</w:t>
            </w:r>
          </w:p>
        </w:tc>
      </w:tr>
      <w:tr w:rsidR="009F21DD" w:rsidRPr="00294B41" w14:paraId="4D9F798B" w14:textId="77777777" w:rsidTr="009F21DD">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hideMark/>
          </w:tcPr>
          <w:p w14:paraId="53A3B779" w14:textId="77777777" w:rsidR="009F21DD" w:rsidRPr="00B42A88" w:rsidRDefault="009F21DD" w:rsidP="009F21DD">
            <w:pPr>
              <w:spacing w:after="0"/>
              <w:rPr>
                <w:rFonts w:cs="Arial"/>
                <w:b/>
                <w:bCs/>
              </w:rPr>
            </w:pPr>
            <w:r w:rsidRPr="00B42A88">
              <w:rPr>
                <w:rFonts w:cs="Arial"/>
                <w:b/>
                <w:bCs/>
              </w:rPr>
              <w:t>Operating entities total (surplus) / deficit</w:t>
            </w:r>
          </w:p>
        </w:tc>
        <w:tc>
          <w:tcPr>
            <w:tcW w:w="1240" w:type="dxa"/>
            <w:tcBorders>
              <w:top w:val="nil"/>
              <w:left w:val="nil"/>
              <w:bottom w:val="single" w:sz="4" w:space="0" w:color="auto"/>
              <w:right w:val="single" w:sz="4" w:space="0" w:color="auto"/>
            </w:tcBorders>
            <w:shd w:val="clear" w:color="000000" w:fill="D9D9D9"/>
            <w:noWrap/>
            <w:vAlign w:val="center"/>
            <w:hideMark/>
          </w:tcPr>
          <w:p w14:paraId="4AC2815C" w14:textId="77777777" w:rsidR="009F21DD" w:rsidRPr="00B42A88" w:rsidRDefault="009F21DD" w:rsidP="009F21DD">
            <w:pPr>
              <w:spacing w:after="0"/>
              <w:jc w:val="right"/>
              <w:rPr>
                <w:rFonts w:cs="Arial"/>
                <w:b/>
              </w:rPr>
            </w:pPr>
            <w:r w:rsidRPr="00B42A88">
              <w:rPr>
                <w:rFonts w:cs="Arial"/>
                <w:b/>
                <w:color w:val="000000"/>
              </w:rPr>
              <w:t>(1,532)</w:t>
            </w:r>
          </w:p>
        </w:tc>
        <w:tc>
          <w:tcPr>
            <w:tcW w:w="1240" w:type="dxa"/>
            <w:tcBorders>
              <w:top w:val="nil"/>
              <w:left w:val="nil"/>
              <w:bottom w:val="single" w:sz="4" w:space="0" w:color="auto"/>
              <w:right w:val="single" w:sz="4" w:space="0" w:color="auto"/>
            </w:tcBorders>
            <w:shd w:val="clear" w:color="000000" w:fill="D9D9D9"/>
            <w:noWrap/>
            <w:vAlign w:val="center"/>
            <w:hideMark/>
          </w:tcPr>
          <w:p w14:paraId="22E98F8C" w14:textId="77777777" w:rsidR="009F21DD" w:rsidRPr="00B42A88" w:rsidRDefault="009F21DD" w:rsidP="009F21DD">
            <w:pPr>
              <w:spacing w:after="0"/>
              <w:jc w:val="right"/>
              <w:rPr>
                <w:rFonts w:cs="Arial"/>
                <w:b/>
              </w:rPr>
            </w:pPr>
            <w:r w:rsidRPr="00B42A88">
              <w:rPr>
                <w:rFonts w:cs="Arial"/>
                <w:b/>
                <w:color w:val="000000"/>
              </w:rPr>
              <w:t>(3,194)</w:t>
            </w:r>
          </w:p>
        </w:tc>
        <w:tc>
          <w:tcPr>
            <w:tcW w:w="1240" w:type="dxa"/>
            <w:tcBorders>
              <w:top w:val="nil"/>
              <w:left w:val="nil"/>
              <w:bottom w:val="single" w:sz="4" w:space="0" w:color="auto"/>
              <w:right w:val="single" w:sz="4" w:space="0" w:color="auto"/>
            </w:tcBorders>
            <w:shd w:val="clear" w:color="000000" w:fill="D9D9D9"/>
            <w:noWrap/>
            <w:vAlign w:val="center"/>
            <w:hideMark/>
          </w:tcPr>
          <w:p w14:paraId="7534C1A0" w14:textId="77777777" w:rsidR="009F21DD" w:rsidRPr="00B42A88" w:rsidRDefault="009F21DD" w:rsidP="009F21DD">
            <w:pPr>
              <w:spacing w:after="0"/>
              <w:jc w:val="right"/>
              <w:rPr>
                <w:rFonts w:cs="Arial"/>
                <w:b/>
              </w:rPr>
            </w:pPr>
            <w:r w:rsidRPr="00B42A88">
              <w:rPr>
                <w:rFonts w:cs="Arial"/>
                <w:b/>
                <w:color w:val="000000"/>
              </w:rPr>
              <w:t>(2,226)</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03F51A2E" w14:textId="77777777" w:rsidR="009F21DD" w:rsidRPr="00B42A88" w:rsidRDefault="009F21DD" w:rsidP="009F21DD">
            <w:pPr>
              <w:spacing w:after="0"/>
              <w:jc w:val="right"/>
              <w:rPr>
                <w:rFonts w:cs="Arial"/>
                <w:b/>
              </w:rPr>
            </w:pPr>
            <w:r w:rsidRPr="00B42A88">
              <w:rPr>
                <w:rFonts w:cs="Arial"/>
                <w:b/>
                <w:color w:val="000000"/>
              </w:rPr>
              <w:t>(1,381)</w:t>
            </w:r>
          </w:p>
        </w:tc>
        <w:tc>
          <w:tcPr>
            <w:tcW w:w="1240" w:type="dxa"/>
            <w:tcBorders>
              <w:top w:val="nil"/>
              <w:left w:val="nil"/>
              <w:bottom w:val="single" w:sz="4" w:space="0" w:color="auto"/>
              <w:right w:val="single" w:sz="4" w:space="0" w:color="auto"/>
            </w:tcBorders>
            <w:shd w:val="clear" w:color="000000" w:fill="D9D9D9"/>
            <w:noWrap/>
            <w:vAlign w:val="center"/>
            <w:hideMark/>
          </w:tcPr>
          <w:p w14:paraId="6CF9FE58" w14:textId="77777777" w:rsidR="009F21DD" w:rsidRPr="00B42A88" w:rsidRDefault="009F21DD" w:rsidP="009F21DD">
            <w:pPr>
              <w:spacing w:after="0"/>
              <w:jc w:val="right"/>
              <w:rPr>
                <w:rFonts w:cs="Arial"/>
                <w:b/>
              </w:rPr>
            </w:pPr>
            <w:r w:rsidRPr="00B42A88">
              <w:rPr>
                <w:rFonts w:cs="Arial"/>
                <w:b/>
                <w:color w:val="000000"/>
              </w:rPr>
              <w:t>(787)</w:t>
            </w:r>
          </w:p>
        </w:tc>
      </w:tr>
      <w:tr w:rsidR="009F21DD" w:rsidRPr="00294B41" w14:paraId="40124163"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A06A1D5"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B7B6E80"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794B03BB"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DB180A"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69362241"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5CCD03A9" w14:textId="77777777" w:rsidR="009F21DD" w:rsidRPr="00B42A88" w:rsidRDefault="009F21DD" w:rsidP="009F21DD">
            <w:pPr>
              <w:spacing w:after="0"/>
              <w:rPr>
                <w:rFonts w:cs="Arial"/>
              </w:rPr>
            </w:pPr>
            <w:r w:rsidRPr="00B42A88">
              <w:rPr>
                <w:rFonts w:cs="Arial"/>
              </w:rPr>
              <w:t> </w:t>
            </w:r>
          </w:p>
        </w:tc>
      </w:tr>
      <w:tr w:rsidR="009F21DD" w:rsidRPr="00294B41" w14:paraId="42710924" w14:textId="77777777" w:rsidTr="009F21DD">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7634863" w14:textId="77777777" w:rsidR="009F21DD" w:rsidRPr="00B42A88" w:rsidRDefault="009F21DD" w:rsidP="009F21DD">
            <w:pPr>
              <w:spacing w:after="0"/>
              <w:rPr>
                <w:rFonts w:cs="Arial"/>
                <w:b/>
                <w:bCs/>
              </w:rPr>
            </w:pPr>
            <w:r w:rsidRPr="00B42A88">
              <w:rPr>
                <w:rFonts w:cs="Arial"/>
                <w:b/>
                <w:bCs/>
              </w:rPr>
              <w:t>Property companies</w:t>
            </w:r>
          </w:p>
        </w:tc>
        <w:tc>
          <w:tcPr>
            <w:tcW w:w="1240" w:type="dxa"/>
            <w:tcBorders>
              <w:top w:val="nil"/>
              <w:left w:val="nil"/>
              <w:bottom w:val="single" w:sz="4" w:space="0" w:color="auto"/>
              <w:right w:val="single" w:sz="4" w:space="0" w:color="auto"/>
            </w:tcBorders>
            <w:shd w:val="clear" w:color="auto" w:fill="auto"/>
            <w:noWrap/>
            <w:vAlign w:val="center"/>
            <w:hideMark/>
          </w:tcPr>
          <w:p w14:paraId="56DCB423"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BF78911"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522FAA"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75FB422E"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326CC1B" w14:textId="77777777" w:rsidR="009F21DD" w:rsidRPr="00B42A88" w:rsidRDefault="009F21DD" w:rsidP="009F21DD">
            <w:pPr>
              <w:spacing w:after="0"/>
              <w:rPr>
                <w:rFonts w:cs="Arial"/>
              </w:rPr>
            </w:pPr>
            <w:r w:rsidRPr="00B42A88">
              <w:rPr>
                <w:rFonts w:cs="Arial"/>
              </w:rPr>
              <w:t> </w:t>
            </w:r>
          </w:p>
        </w:tc>
      </w:tr>
      <w:tr w:rsidR="009F21DD" w:rsidRPr="00294B41" w14:paraId="67D71655"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0578820C" w14:textId="77777777" w:rsidR="009F21DD" w:rsidRPr="00B42A88" w:rsidRDefault="009F21DD" w:rsidP="009F21DD">
            <w:pPr>
              <w:spacing w:after="0"/>
              <w:rPr>
                <w:rFonts w:cs="Arial"/>
              </w:rPr>
            </w:pPr>
            <w:r w:rsidRPr="00B42A88">
              <w:rPr>
                <w:rFonts w:cs="Arial"/>
              </w:rPr>
              <w:t>LGMB</w:t>
            </w:r>
          </w:p>
        </w:tc>
        <w:tc>
          <w:tcPr>
            <w:tcW w:w="1240" w:type="dxa"/>
            <w:tcBorders>
              <w:top w:val="nil"/>
              <w:left w:val="nil"/>
              <w:bottom w:val="single" w:sz="4" w:space="0" w:color="auto"/>
              <w:right w:val="single" w:sz="4" w:space="0" w:color="auto"/>
            </w:tcBorders>
            <w:shd w:val="clear" w:color="auto" w:fill="auto"/>
            <w:noWrap/>
            <w:vAlign w:val="center"/>
            <w:hideMark/>
          </w:tcPr>
          <w:p w14:paraId="7B21C346" w14:textId="77777777" w:rsidR="009F21DD" w:rsidRPr="00B42A88" w:rsidRDefault="009F21DD" w:rsidP="009F21DD">
            <w:pPr>
              <w:spacing w:after="0"/>
              <w:jc w:val="right"/>
              <w:rPr>
                <w:rFonts w:cs="Arial"/>
              </w:rPr>
            </w:pPr>
            <w:r w:rsidRPr="00B42A88">
              <w:rPr>
                <w:rFonts w:cs="Arial"/>
              </w:rPr>
              <w:t>804</w:t>
            </w:r>
          </w:p>
        </w:tc>
        <w:tc>
          <w:tcPr>
            <w:tcW w:w="1240" w:type="dxa"/>
            <w:tcBorders>
              <w:top w:val="nil"/>
              <w:left w:val="nil"/>
              <w:bottom w:val="single" w:sz="4" w:space="0" w:color="auto"/>
              <w:right w:val="single" w:sz="4" w:space="0" w:color="auto"/>
            </w:tcBorders>
            <w:shd w:val="clear" w:color="auto" w:fill="auto"/>
            <w:noWrap/>
            <w:vAlign w:val="center"/>
            <w:hideMark/>
          </w:tcPr>
          <w:p w14:paraId="594D481E" w14:textId="77777777" w:rsidR="009F21DD" w:rsidRPr="00B42A88" w:rsidRDefault="009F21DD" w:rsidP="009F21DD">
            <w:pPr>
              <w:spacing w:after="0"/>
              <w:jc w:val="right"/>
              <w:rPr>
                <w:rFonts w:cs="Arial"/>
              </w:rPr>
            </w:pPr>
            <w:r w:rsidRPr="00B42A88">
              <w:rPr>
                <w:rFonts w:cs="Arial"/>
              </w:rPr>
              <w:t>874</w:t>
            </w:r>
          </w:p>
        </w:tc>
        <w:tc>
          <w:tcPr>
            <w:tcW w:w="1240" w:type="dxa"/>
            <w:tcBorders>
              <w:top w:val="nil"/>
              <w:left w:val="nil"/>
              <w:bottom w:val="single" w:sz="4" w:space="0" w:color="auto"/>
              <w:right w:val="single" w:sz="4" w:space="0" w:color="auto"/>
            </w:tcBorders>
            <w:shd w:val="clear" w:color="auto" w:fill="auto"/>
            <w:noWrap/>
            <w:vAlign w:val="center"/>
            <w:hideMark/>
          </w:tcPr>
          <w:p w14:paraId="04D49220" w14:textId="77777777" w:rsidR="009F21DD" w:rsidRPr="00B42A88" w:rsidRDefault="009F21DD" w:rsidP="009F21DD">
            <w:pPr>
              <w:spacing w:after="0"/>
              <w:jc w:val="right"/>
              <w:rPr>
                <w:rFonts w:cs="Arial"/>
              </w:rPr>
            </w:pPr>
            <w:r w:rsidRPr="00B42A88">
              <w:rPr>
                <w:rFonts w:cs="Arial"/>
              </w:rPr>
              <w:t>1,189</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69F68653" w14:textId="77777777" w:rsidR="009F21DD" w:rsidRPr="00B42A88" w:rsidRDefault="009F21DD" w:rsidP="009F21DD">
            <w:pPr>
              <w:spacing w:after="0"/>
              <w:jc w:val="right"/>
              <w:rPr>
                <w:rFonts w:cs="Arial"/>
              </w:rPr>
            </w:pPr>
            <w:r w:rsidRPr="00B42A88">
              <w:rPr>
                <w:rFonts w:cs="Arial"/>
                <w:color w:val="000000"/>
              </w:rPr>
              <w:t>(262)</w:t>
            </w:r>
          </w:p>
        </w:tc>
        <w:tc>
          <w:tcPr>
            <w:tcW w:w="1240" w:type="dxa"/>
            <w:tcBorders>
              <w:top w:val="nil"/>
              <w:left w:val="nil"/>
              <w:bottom w:val="single" w:sz="4" w:space="0" w:color="auto"/>
              <w:right w:val="single" w:sz="4" w:space="0" w:color="auto"/>
            </w:tcBorders>
            <w:shd w:val="clear" w:color="auto" w:fill="auto"/>
            <w:noWrap/>
            <w:vAlign w:val="center"/>
            <w:hideMark/>
          </w:tcPr>
          <w:p w14:paraId="318C20E7" w14:textId="77777777" w:rsidR="009F21DD" w:rsidRPr="00B42A88" w:rsidRDefault="009F21DD" w:rsidP="009F21DD">
            <w:pPr>
              <w:spacing w:after="0"/>
              <w:jc w:val="right"/>
              <w:rPr>
                <w:rFonts w:cs="Arial"/>
              </w:rPr>
            </w:pPr>
            <w:r w:rsidRPr="00B42A88">
              <w:rPr>
                <w:rFonts w:cs="Arial"/>
                <w:color w:val="000000"/>
              </w:rPr>
              <w:t>(1,325)</w:t>
            </w:r>
          </w:p>
        </w:tc>
      </w:tr>
      <w:tr w:rsidR="009F21DD" w:rsidRPr="00294B41" w14:paraId="230C7910"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180A19B" w14:textId="77777777" w:rsidR="009F21DD" w:rsidRPr="00B42A88" w:rsidRDefault="009F21DD" w:rsidP="009F21DD">
            <w:pPr>
              <w:spacing w:after="0"/>
              <w:rPr>
                <w:rFonts w:cs="Arial"/>
              </w:rPr>
            </w:pPr>
            <w:r w:rsidRPr="00B42A88">
              <w:rPr>
                <w:rFonts w:cs="Arial"/>
              </w:rPr>
              <w:t>LGAP</w:t>
            </w:r>
          </w:p>
        </w:tc>
        <w:tc>
          <w:tcPr>
            <w:tcW w:w="1240" w:type="dxa"/>
            <w:tcBorders>
              <w:top w:val="nil"/>
              <w:left w:val="nil"/>
              <w:bottom w:val="single" w:sz="4" w:space="0" w:color="auto"/>
              <w:right w:val="single" w:sz="4" w:space="0" w:color="auto"/>
            </w:tcBorders>
            <w:shd w:val="clear" w:color="auto" w:fill="auto"/>
            <w:noWrap/>
            <w:vAlign w:val="center"/>
            <w:hideMark/>
          </w:tcPr>
          <w:p w14:paraId="7EC49245" w14:textId="77777777" w:rsidR="009F21DD" w:rsidRPr="00B42A88" w:rsidRDefault="009F21DD" w:rsidP="009F21DD">
            <w:pPr>
              <w:spacing w:after="0"/>
              <w:jc w:val="right"/>
              <w:rPr>
                <w:rFonts w:cs="Arial"/>
              </w:rPr>
            </w:pPr>
            <w:r w:rsidRPr="00B42A88">
              <w:rPr>
                <w:rFonts w:cs="Arial"/>
              </w:rPr>
              <w:t>1,369</w:t>
            </w:r>
          </w:p>
        </w:tc>
        <w:tc>
          <w:tcPr>
            <w:tcW w:w="1240" w:type="dxa"/>
            <w:tcBorders>
              <w:top w:val="nil"/>
              <w:left w:val="nil"/>
              <w:bottom w:val="single" w:sz="4" w:space="0" w:color="auto"/>
              <w:right w:val="single" w:sz="4" w:space="0" w:color="auto"/>
            </w:tcBorders>
            <w:shd w:val="clear" w:color="auto" w:fill="auto"/>
            <w:noWrap/>
            <w:vAlign w:val="center"/>
            <w:hideMark/>
          </w:tcPr>
          <w:p w14:paraId="562C4E89" w14:textId="77777777" w:rsidR="009F21DD" w:rsidRPr="00B42A88" w:rsidRDefault="009F21DD" w:rsidP="009F21DD">
            <w:pPr>
              <w:spacing w:after="0"/>
              <w:jc w:val="right"/>
              <w:rPr>
                <w:rFonts w:cs="Arial"/>
              </w:rPr>
            </w:pPr>
            <w:r w:rsidRPr="00B42A88">
              <w:rPr>
                <w:rFonts w:cs="Arial"/>
              </w:rPr>
              <w:t>1,200</w:t>
            </w:r>
          </w:p>
        </w:tc>
        <w:tc>
          <w:tcPr>
            <w:tcW w:w="1240" w:type="dxa"/>
            <w:tcBorders>
              <w:top w:val="nil"/>
              <w:left w:val="nil"/>
              <w:bottom w:val="single" w:sz="4" w:space="0" w:color="auto"/>
              <w:right w:val="single" w:sz="4" w:space="0" w:color="auto"/>
            </w:tcBorders>
            <w:shd w:val="clear" w:color="auto" w:fill="auto"/>
            <w:noWrap/>
            <w:vAlign w:val="center"/>
            <w:hideMark/>
          </w:tcPr>
          <w:p w14:paraId="7CCDC624" w14:textId="77777777" w:rsidR="009F21DD" w:rsidRPr="00B42A88" w:rsidRDefault="009F21DD" w:rsidP="009F21DD">
            <w:pPr>
              <w:spacing w:after="0"/>
              <w:jc w:val="right"/>
              <w:rPr>
                <w:rFonts w:cs="Arial"/>
              </w:rPr>
            </w:pPr>
            <w:r w:rsidRPr="00B42A88">
              <w:rPr>
                <w:rFonts w:cs="Arial"/>
              </w:rPr>
              <w:t>563</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7D375440" w14:textId="77777777" w:rsidR="009F21DD" w:rsidRPr="00B42A88" w:rsidRDefault="009F21DD" w:rsidP="009F21DD">
            <w:pPr>
              <w:spacing w:after="0"/>
              <w:jc w:val="right"/>
              <w:rPr>
                <w:rFonts w:cs="Arial"/>
              </w:rPr>
            </w:pPr>
            <w:r w:rsidRPr="00B42A88">
              <w:rPr>
                <w:rFonts w:cs="Arial"/>
                <w:color w:val="000000"/>
              </w:rPr>
              <w:t>(174)</w:t>
            </w:r>
          </w:p>
        </w:tc>
        <w:tc>
          <w:tcPr>
            <w:tcW w:w="1240" w:type="dxa"/>
            <w:tcBorders>
              <w:top w:val="nil"/>
              <w:left w:val="nil"/>
              <w:bottom w:val="single" w:sz="4" w:space="0" w:color="auto"/>
              <w:right w:val="single" w:sz="4" w:space="0" w:color="auto"/>
            </w:tcBorders>
            <w:shd w:val="clear" w:color="auto" w:fill="auto"/>
            <w:noWrap/>
            <w:vAlign w:val="center"/>
            <w:hideMark/>
          </w:tcPr>
          <w:p w14:paraId="4EA82125" w14:textId="77777777" w:rsidR="009F21DD" w:rsidRPr="00B42A88" w:rsidRDefault="009F21DD" w:rsidP="009F21DD">
            <w:pPr>
              <w:spacing w:after="0"/>
              <w:jc w:val="right"/>
              <w:rPr>
                <w:rFonts w:cs="Arial"/>
              </w:rPr>
            </w:pPr>
            <w:r w:rsidRPr="00B42A88">
              <w:rPr>
                <w:rFonts w:cs="Arial"/>
                <w:color w:val="000000"/>
              </w:rPr>
              <w:t>(137)</w:t>
            </w:r>
          </w:p>
        </w:tc>
      </w:tr>
      <w:tr w:rsidR="009F21DD" w:rsidRPr="00294B41" w14:paraId="492C37FA" w14:textId="77777777" w:rsidTr="009F21DD">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hideMark/>
          </w:tcPr>
          <w:p w14:paraId="308D0E84" w14:textId="77777777" w:rsidR="009F21DD" w:rsidRPr="00B42A88" w:rsidRDefault="009F21DD" w:rsidP="009F21DD">
            <w:pPr>
              <w:spacing w:after="0"/>
              <w:rPr>
                <w:rFonts w:cs="Arial"/>
                <w:b/>
                <w:bCs/>
              </w:rPr>
            </w:pPr>
            <w:r w:rsidRPr="00B42A88">
              <w:rPr>
                <w:rFonts w:cs="Arial"/>
                <w:b/>
                <w:bCs/>
              </w:rPr>
              <w:t>Property companies total (surplus) / deficit</w:t>
            </w:r>
          </w:p>
        </w:tc>
        <w:tc>
          <w:tcPr>
            <w:tcW w:w="1240" w:type="dxa"/>
            <w:tcBorders>
              <w:top w:val="nil"/>
              <w:left w:val="nil"/>
              <w:bottom w:val="single" w:sz="4" w:space="0" w:color="auto"/>
              <w:right w:val="single" w:sz="4" w:space="0" w:color="auto"/>
            </w:tcBorders>
            <w:shd w:val="clear" w:color="000000" w:fill="D9D9D9"/>
            <w:noWrap/>
            <w:vAlign w:val="center"/>
            <w:hideMark/>
          </w:tcPr>
          <w:p w14:paraId="2E729E2B" w14:textId="77777777" w:rsidR="009F21DD" w:rsidRPr="00B42A88" w:rsidRDefault="009F21DD" w:rsidP="009F21DD">
            <w:pPr>
              <w:spacing w:after="0"/>
              <w:jc w:val="right"/>
              <w:rPr>
                <w:rFonts w:cs="Arial"/>
                <w:b/>
              </w:rPr>
            </w:pPr>
            <w:r w:rsidRPr="00B42A88">
              <w:rPr>
                <w:rFonts w:cs="Arial"/>
                <w:b/>
              </w:rPr>
              <w:t>2,173</w:t>
            </w:r>
          </w:p>
        </w:tc>
        <w:tc>
          <w:tcPr>
            <w:tcW w:w="1240" w:type="dxa"/>
            <w:tcBorders>
              <w:top w:val="nil"/>
              <w:left w:val="nil"/>
              <w:bottom w:val="single" w:sz="4" w:space="0" w:color="auto"/>
              <w:right w:val="single" w:sz="4" w:space="0" w:color="auto"/>
            </w:tcBorders>
            <w:shd w:val="clear" w:color="000000" w:fill="D9D9D9"/>
            <w:noWrap/>
            <w:vAlign w:val="center"/>
            <w:hideMark/>
          </w:tcPr>
          <w:p w14:paraId="7E2AA4A5" w14:textId="77777777" w:rsidR="009F21DD" w:rsidRPr="00B42A88" w:rsidRDefault="009F21DD" w:rsidP="009F21DD">
            <w:pPr>
              <w:spacing w:after="0"/>
              <w:jc w:val="right"/>
              <w:rPr>
                <w:rFonts w:cs="Arial"/>
                <w:b/>
              </w:rPr>
            </w:pPr>
            <w:r w:rsidRPr="00B42A88">
              <w:rPr>
                <w:rFonts w:cs="Arial"/>
                <w:b/>
              </w:rPr>
              <w:t>2,074</w:t>
            </w:r>
          </w:p>
        </w:tc>
        <w:tc>
          <w:tcPr>
            <w:tcW w:w="1240" w:type="dxa"/>
            <w:tcBorders>
              <w:top w:val="nil"/>
              <w:left w:val="nil"/>
              <w:bottom w:val="single" w:sz="4" w:space="0" w:color="auto"/>
              <w:right w:val="single" w:sz="4" w:space="0" w:color="auto"/>
            </w:tcBorders>
            <w:shd w:val="clear" w:color="000000" w:fill="D9D9D9"/>
            <w:noWrap/>
            <w:vAlign w:val="center"/>
            <w:hideMark/>
          </w:tcPr>
          <w:p w14:paraId="44FB43A7" w14:textId="77777777" w:rsidR="009F21DD" w:rsidRPr="00B42A88" w:rsidRDefault="009F21DD" w:rsidP="009F21DD">
            <w:pPr>
              <w:spacing w:after="0"/>
              <w:jc w:val="right"/>
              <w:rPr>
                <w:rFonts w:cs="Arial"/>
                <w:b/>
              </w:rPr>
            </w:pPr>
            <w:r w:rsidRPr="00B42A88">
              <w:rPr>
                <w:rFonts w:cs="Arial"/>
                <w:b/>
              </w:rPr>
              <w:t>1,752</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765F454A" w14:textId="77777777" w:rsidR="009F21DD" w:rsidRPr="00B42A88" w:rsidRDefault="009F21DD" w:rsidP="009F21DD">
            <w:pPr>
              <w:spacing w:after="0"/>
              <w:jc w:val="right"/>
              <w:rPr>
                <w:rFonts w:cs="Arial"/>
                <w:b/>
              </w:rPr>
            </w:pPr>
            <w:r w:rsidRPr="00B42A88">
              <w:rPr>
                <w:rFonts w:cs="Arial"/>
                <w:b/>
                <w:color w:val="000000"/>
              </w:rPr>
              <w:t>(436)</w:t>
            </w:r>
          </w:p>
        </w:tc>
        <w:tc>
          <w:tcPr>
            <w:tcW w:w="1240" w:type="dxa"/>
            <w:tcBorders>
              <w:top w:val="nil"/>
              <w:left w:val="nil"/>
              <w:bottom w:val="single" w:sz="4" w:space="0" w:color="auto"/>
              <w:right w:val="single" w:sz="4" w:space="0" w:color="auto"/>
            </w:tcBorders>
            <w:shd w:val="clear" w:color="000000" w:fill="D9D9D9"/>
            <w:noWrap/>
            <w:vAlign w:val="center"/>
            <w:hideMark/>
          </w:tcPr>
          <w:p w14:paraId="3FF2301A" w14:textId="77777777" w:rsidR="009F21DD" w:rsidRPr="00B42A88" w:rsidRDefault="009F21DD" w:rsidP="009F21DD">
            <w:pPr>
              <w:spacing w:after="0"/>
              <w:jc w:val="right"/>
              <w:rPr>
                <w:rFonts w:cs="Arial"/>
                <w:b/>
              </w:rPr>
            </w:pPr>
            <w:r w:rsidRPr="00B42A88">
              <w:rPr>
                <w:rFonts w:cs="Arial"/>
                <w:b/>
                <w:color w:val="000000"/>
              </w:rPr>
              <w:t>(1,462)</w:t>
            </w:r>
          </w:p>
        </w:tc>
      </w:tr>
      <w:tr w:rsidR="009F21DD" w:rsidRPr="00294B41" w14:paraId="55C1F079" w14:textId="77777777" w:rsidTr="009F21DD">
        <w:trPr>
          <w:trHeight w:val="28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06C4631"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CD8D83"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BA878C"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EEDF1A"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08F1A8BD"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39E3084B" w14:textId="77777777" w:rsidR="009F21DD" w:rsidRPr="00B42A88" w:rsidRDefault="009F21DD" w:rsidP="009F21DD">
            <w:pPr>
              <w:spacing w:after="0"/>
              <w:rPr>
                <w:rFonts w:cs="Arial"/>
              </w:rPr>
            </w:pPr>
            <w:r w:rsidRPr="00B42A88">
              <w:rPr>
                <w:rFonts w:cs="Arial"/>
              </w:rPr>
              <w:t> </w:t>
            </w:r>
          </w:p>
        </w:tc>
      </w:tr>
      <w:tr w:rsidR="009F21DD" w:rsidRPr="00294B41" w14:paraId="24A12C35" w14:textId="77777777" w:rsidTr="009F21DD">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hideMark/>
          </w:tcPr>
          <w:p w14:paraId="0C3339E3" w14:textId="77777777" w:rsidR="009F21DD" w:rsidRPr="00B42A88" w:rsidRDefault="009F21DD" w:rsidP="009F21DD">
            <w:pPr>
              <w:spacing w:after="0"/>
              <w:rPr>
                <w:rFonts w:cs="Arial"/>
                <w:b/>
                <w:bCs/>
              </w:rPr>
            </w:pPr>
            <w:r w:rsidRPr="00B42A88">
              <w:rPr>
                <w:rFonts w:cs="Arial"/>
                <w:b/>
                <w:bCs/>
              </w:rPr>
              <w:t>Group total(surplus) / deficit</w:t>
            </w:r>
          </w:p>
        </w:tc>
        <w:tc>
          <w:tcPr>
            <w:tcW w:w="1240" w:type="dxa"/>
            <w:tcBorders>
              <w:top w:val="nil"/>
              <w:left w:val="nil"/>
              <w:bottom w:val="single" w:sz="4" w:space="0" w:color="auto"/>
              <w:right w:val="single" w:sz="4" w:space="0" w:color="auto"/>
            </w:tcBorders>
            <w:shd w:val="clear" w:color="000000" w:fill="D9D9D9"/>
            <w:noWrap/>
            <w:vAlign w:val="center"/>
            <w:hideMark/>
          </w:tcPr>
          <w:p w14:paraId="24406A78" w14:textId="77777777" w:rsidR="009F21DD" w:rsidRPr="00B42A88" w:rsidRDefault="009F21DD" w:rsidP="009F21DD">
            <w:pPr>
              <w:spacing w:after="0"/>
              <w:jc w:val="right"/>
              <w:rPr>
                <w:rFonts w:cs="Arial"/>
                <w:b/>
              </w:rPr>
            </w:pPr>
            <w:r w:rsidRPr="00B42A88">
              <w:rPr>
                <w:rFonts w:cs="Arial"/>
                <w:b/>
              </w:rPr>
              <w:t>641</w:t>
            </w:r>
          </w:p>
        </w:tc>
        <w:tc>
          <w:tcPr>
            <w:tcW w:w="1240" w:type="dxa"/>
            <w:tcBorders>
              <w:top w:val="nil"/>
              <w:left w:val="nil"/>
              <w:bottom w:val="single" w:sz="4" w:space="0" w:color="auto"/>
              <w:right w:val="single" w:sz="4" w:space="0" w:color="auto"/>
            </w:tcBorders>
            <w:shd w:val="clear" w:color="000000" w:fill="D9D9D9"/>
            <w:noWrap/>
            <w:vAlign w:val="center"/>
            <w:hideMark/>
          </w:tcPr>
          <w:p w14:paraId="56414F7D" w14:textId="77777777" w:rsidR="009F21DD" w:rsidRPr="00B42A88" w:rsidRDefault="009F21DD" w:rsidP="009F21DD">
            <w:pPr>
              <w:spacing w:after="0"/>
              <w:jc w:val="right"/>
              <w:rPr>
                <w:rFonts w:cs="Arial"/>
                <w:b/>
              </w:rPr>
            </w:pPr>
            <w:r w:rsidRPr="00B42A88">
              <w:rPr>
                <w:rFonts w:cs="Arial"/>
                <w:b/>
                <w:color w:val="000000"/>
              </w:rPr>
              <w:t>(1,120)</w:t>
            </w:r>
          </w:p>
        </w:tc>
        <w:tc>
          <w:tcPr>
            <w:tcW w:w="1240" w:type="dxa"/>
            <w:tcBorders>
              <w:top w:val="nil"/>
              <w:left w:val="nil"/>
              <w:bottom w:val="single" w:sz="4" w:space="0" w:color="auto"/>
              <w:right w:val="single" w:sz="4" w:space="0" w:color="auto"/>
            </w:tcBorders>
            <w:shd w:val="clear" w:color="000000" w:fill="D9D9D9"/>
            <w:noWrap/>
            <w:vAlign w:val="center"/>
            <w:hideMark/>
          </w:tcPr>
          <w:p w14:paraId="22935CB5" w14:textId="77777777" w:rsidR="009F21DD" w:rsidRPr="00B42A88" w:rsidRDefault="009F21DD" w:rsidP="009F21DD">
            <w:pPr>
              <w:spacing w:after="0"/>
              <w:jc w:val="right"/>
              <w:rPr>
                <w:rFonts w:cs="Arial"/>
                <w:b/>
              </w:rPr>
            </w:pPr>
            <w:r w:rsidRPr="00B42A88">
              <w:rPr>
                <w:rFonts w:cs="Arial"/>
                <w:b/>
                <w:color w:val="000000"/>
              </w:rPr>
              <w:t>(474)</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0A584D9F" w14:textId="77777777" w:rsidR="009F21DD" w:rsidRPr="00B42A88" w:rsidRDefault="009F21DD" w:rsidP="009F21DD">
            <w:pPr>
              <w:spacing w:after="0"/>
              <w:jc w:val="right"/>
              <w:rPr>
                <w:rFonts w:cs="Arial"/>
                <w:b/>
              </w:rPr>
            </w:pPr>
            <w:r w:rsidRPr="00B42A88">
              <w:rPr>
                <w:rFonts w:cs="Arial"/>
                <w:b/>
                <w:color w:val="000000"/>
              </w:rPr>
              <w:t>(1,817)</w:t>
            </w:r>
          </w:p>
        </w:tc>
        <w:tc>
          <w:tcPr>
            <w:tcW w:w="1240" w:type="dxa"/>
            <w:tcBorders>
              <w:top w:val="nil"/>
              <w:left w:val="nil"/>
              <w:bottom w:val="single" w:sz="4" w:space="0" w:color="auto"/>
              <w:right w:val="single" w:sz="4" w:space="0" w:color="auto"/>
            </w:tcBorders>
            <w:shd w:val="clear" w:color="000000" w:fill="D9D9D9"/>
            <w:noWrap/>
            <w:vAlign w:val="center"/>
            <w:hideMark/>
          </w:tcPr>
          <w:p w14:paraId="78A67346" w14:textId="77777777" w:rsidR="009F21DD" w:rsidRPr="00B42A88" w:rsidRDefault="009F21DD" w:rsidP="009F21DD">
            <w:pPr>
              <w:spacing w:after="0"/>
              <w:jc w:val="right"/>
              <w:rPr>
                <w:rFonts w:cs="Arial"/>
                <w:b/>
              </w:rPr>
            </w:pPr>
            <w:r w:rsidRPr="00B42A88">
              <w:rPr>
                <w:rFonts w:cs="Arial"/>
                <w:b/>
                <w:color w:val="000000"/>
              </w:rPr>
              <w:t>(2,249)</w:t>
            </w:r>
          </w:p>
        </w:tc>
      </w:tr>
      <w:tr w:rsidR="009F21DD" w:rsidRPr="00294B41" w14:paraId="24042BB3" w14:textId="77777777" w:rsidTr="009F21DD">
        <w:trPr>
          <w:trHeight w:val="28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29B6C2"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9551196"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F906A8D"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5492DE"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51931B00"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37FAC5D" w14:textId="77777777" w:rsidR="009F21DD" w:rsidRPr="00B42A88" w:rsidRDefault="009F21DD" w:rsidP="009F21DD">
            <w:pPr>
              <w:spacing w:after="0"/>
              <w:rPr>
                <w:rFonts w:cs="Arial"/>
              </w:rPr>
            </w:pPr>
            <w:r w:rsidRPr="00B42A88">
              <w:rPr>
                <w:rFonts w:cs="Arial"/>
              </w:rPr>
              <w:t> </w:t>
            </w:r>
          </w:p>
        </w:tc>
      </w:tr>
      <w:tr w:rsidR="009F21DD" w:rsidRPr="00294B41" w14:paraId="1C968C37" w14:textId="77777777" w:rsidTr="009F21DD">
        <w:trPr>
          <w:trHeight w:val="31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4F0D498B" w14:textId="77777777" w:rsidR="009F21DD" w:rsidRPr="00B42A88" w:rsidRDefault="009F21DD" w:rsidP="009F21DD">
            <w:pPr>
              <w:spacing w:after="0"/>
              <w:rPr>
                <w:rFonts w:cs="Arial"/>
                <w:b/>
                <w:bCs/>
              </w:rPr>
            </w:pPr>
            <w:r w:rsidRPr="00B42A88">
              <w:rPr>
                <w:rFonts w:cs="Arial"/>
                <w:b/>
                <w:bCs/>
              </w:rPr>
              <w:t>Funded by:</w:t>
            </w:r>
          </w:p>
        </w:tc>
        <w:tc>
          <w:tcPr>
            <w:tcW w:w="1240" w:type="dxa"/>
            <w:tcBorders>
              <w:top w:val="nil"/>
              <w:left w:val="nil"/>
              <w:bottom w:val="single" w:sz="4" w:space="0" w:color="auto"/>
              <w:right w:val="single" w:sz="4" w:space="0" w:color="auto"/>
            </w:tcBorders>
            <w:shd w:val="clear" w:color="auto" w:fill="auto"/>
            <w:noWrap/>
            <w:vAlign w:val="center"/>
            <w:hideMark/>
          </w:tcPr>
          <w:p w14:paraId="4BCB3954"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E633191"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E7170A6"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70FB7C80"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7AE41F6D" w14:textId="77777777" w:rsidR="009F21DD" w:rsidRPr="00B42A88" w:rsidRDefault="009F21DD" w:rsidP="009F21DD">
            <w:pPr>
              <w:spacing w:after="0"/>
              <w:rPr>
                <w:rFonts w:cs="Arial"/>
              </w:rPr>
            </w:pPr>
            <w:r w:rsidRPr="00B42A88">
              <w:rPr>
                <w:rFonts w:cs="Arial"/>
              </w:rPr>
              <w:t> </w:t>
            </w:r>
          </w:p>
        </w:tc>
      </w:tr>
      <w:tr w:rsidR="009F21DD" w:rsidRPr="00294B41" w14:paraId="1FC01E2B" w14:textId="77777777" w:rsidTr="009F21DD">
        <w:trPr>
          <w:trHeight w:val="9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568DD7F2" w14:textId="77777777" w:rsidR="009F21DD" w:rsidRPr="00B42A88" w:rsidRDefault="009F21DD" w:rsidP="009F21DD">
            <w:pPr>
              <w:spacing w:after="0"/>
              <w:rPr>
                <w:rFonts w:cs="Arial"/>
              </w:rPr>
            </w:pPr>
            <w:r w:rsidRPr="00B42A88">
              <w:rPr>
                <w:rFonts w:cs="Arial"/>
              </w:rPr>
              <w:t>Contribution to / (from) specific reserves - Operating entities</w:t>
            </w:r>
          </w:p>
        </w:tc>
        <w:tc>
          <w:tcPr>
            <w:tcW w:w="1240" w:type="dxa"/>
            <w:tcBorders>
              <w:top w:val="nil"/>
              <w:left w:val="nil"/>
              <w:bottom w:val="single" w:sz="4" w:space="0" w:color="auto"/>
              <w:right w:val="single" w:sz="4" w:space="0" w:color="auto"/>
            </w:tcBorders>
            <w:shd w:val="clear" w:color="auto" w:fill="auto"/>
            <w:noWrap/>
            <w:vAlign w:val="center"/>
            <w:hideMark/>
          </w:tcPr>
          <w:p w14:paraId="1AA24113" w14:textId="77777777" w:rsidR="009F21DD" w:rsidRPr="00B42A88" w:rsidRDefault="009F21DD" w:rsidP="009F21DD">
            <w:pPr>
              <w:spacing w:after="0"/>
              <w:jc w:val="right"/>
              <w:rPr>
                <w:rFonts w:cs="Arial"/>
              </w:rPr>
            </w:pPr>
            <w:r w:rsidRPr="00B42A88">
              <w:rPr>
                <w:rFonts w:cs="Arial"/>
              </w:rPr>
              <w:t>1,532</w:t>
            </w:r>
          </w:p>
        </w:tc>
        <w:tc>
          <w:tcPr>
            <w:tcW w:w="1240" w:type="dxa"/>
            <w:tcBorders>
              <w:top w:val="nil"/>
              <w:left w:val="nil"/>
              <w:bottom w:val="single" w:sz="4" w:space="0" w:color="auto"/>
              <w:right w:val="single" w:sz="4" w:space="0" w:color="auto"/>
            </w:tcBorders>
            <w:shd w:val="clear" w:color="auto" w:fill="auto"/>
            <w:noWrap/>
            <w:vAlign w:val="center"/>
            <w:hideMark/>
          </w:tcPr>
          <w:p w14:paraId="5DA7276E" w14:textId="77777777" w:rsidR="009F21DD" w:rsidRPr="00B42A88" w:rsidRDefault="009F21DD" w:rsidP="009F21DD">
            <w:pPr>
              <w:spacing w:after="0"/>
              <w:jc w:val="right"/>
              <w:rPr>
                <w:rFonts w:cs="Arial"/>
              </w:rPr>
            </w:pPr>
            <w:r w:rsidRPr="00B42A88">
              <w:rPr>
                <w:rFonts w:cs="Arial"/>
              </w:rPr>
              <w:t>3,194</w:t>
            </w:r>
          </w:p>
        </w:tc>
        <w:tc>
          <w:tcPr>
            <w:tcW w:w="1240" w:type="dxa"/>
            <w:tcBorders>
              <w:top w:val="nil"/>
              <w:left w:val="nil"/>
              <w:bottom w:val="single" w:sz="4" w:space="0" w:color="auto"/>
              <w:right w:val="single" w:sz="4" w:space="0" w:color="auto"/>
            </w:tcBorders>
            <w:shd w:val="clear" w:color="auto" w:fill="auto"/>
            <w:noWrap/>
            <w:vAlign w:val="center"/>
            <w:hideMark/>
          </w:tcPr>
          <w:p w14:paraId="70A08345" w14:textId="77777777" w:rsidR="009F21DD" w:rsidRPr="00B42A88" w:rsidRDefault="009F21DD" w:rsidP="009F21DD">
            <w:pPr>
              <w:spacing w:after="0"/>
              <w:jc w:val="right"/>
              <w:rPr>
                <w:rFonts w:cs="Arial"/>
              </w:rPr>
            </w:pPr>
            <w:r w:rsidRPr="00B42A88">
              <w:rPr>
                <w:rFonts w:cs="Arial"/>
              </w:rPr>
              <w:t>2,226</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58D8E5E0" w14:textId="77777777" w:rsidR="009F21DD" w:rsidRPr="00B42A88" w:rsidRDefault="009F21DD" w:rsidP="009F21DD">
            <w:pPr>
              <w:spacing w:after="0"/>
              <w:jc w:val="right"/>
              <w:rPr>
                <w:rFonts w:cs="Arial"/>
              </w:rPr>
            </w:pPr>
            <w:r w:rsidRPr="00B42A88">
              <w:rPr>
                <w:rFonts w:cs="Arial"/>
              </w:rPr>
              <w:t>1,381</w:t>
            </w:r>
          </w:p>
        </w:tc>
        <w:tc>
          <w:tcPr>
            <w:tcW w:w="1240" w:type="dxa"/>
            <w:tcBorders>
              <w:top w:val="nil"/>
              <w:left w:val="nil"/>
              <w:bottom w:val="single" w:sz="4" w:space="0" w:color="auto"/>
              <w:right w:val="single" w:sz="4" w:space="0" w:color="auto"/>
            </w:tcBorders>
            <w:shd w:val="clear" w:color="auto" w:fill="auto"/>
            <w:noWrap/>
            <w:vAlign w:val="center"/>
            <w:hideMark/>
          </w:tcPr>
          <w:p w14:paraId="13F7AD4D" w14:textId="77777777" w:rsidR="009F21DD" w:rsidRPr="00B42A88" w:rsidRDefault="009F21DD" w:rsidP="009F21DD">
            <w:pPr>
              <w:spacing w:after="0"/>
              <w:jc w:val="right"/>
              <w:rPr>
                <w:rFonts w:cs="Arial"/>
              </w:rPr>
            </w:pPr>
            <w:r w:rsidRPr="00B42A88">
              <w:rPr>
                <w:rFonts w:cs="Arial"/>
              </w:rPr>
              <w:t>787</w:t>
            </w:r>
          </w:p>
        </w:tc>
      </w:tr>
      <w:tr w:rsidR="009F21DD" w:rsidRPr="00294B41" w14:paraId="16BA6520" w14:textId="77777777" w:rsidTr="009F21DD">
        <w:trPr>
          <w:trHeight w:val="90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8521E21" w14:textId="77777777" w:rsidR="009F21DD" w:rsidRPr="00B42A88" w:rsidRDefault="009F21DD" w:rsidP="009F21DD">
            <w:pPr>
              <w:spacing w:after="0"/>
              <w:rPr>
                <w:rFonts w:cs="Arial"/>
              </w:rPr>
            </w:pPr>
            <w:r w:rsidRPr="00B42A88">
              <w:rPr>
                <w:rFonts w:cs="Arial"/>
              </w:rPr>
              <w:t>Contribution to / (from) General reserves - Property Companies</w:t>
            </w:r>
          </w:p>
        </w:tc>
        <w:tc>
          <w:tcPr>
            <w:tcW w:w="1240" w:type="dxa"/>
            <w:tcBorders>
              <w:top w:val="nil"/>
              <w:left w:val="nil"/>
              <w:bottom w:val="single" w:sz="4" w:space="0" w:color="auto"/>
              <w:right w:val="single" w:sz="4" w:space="0" w:color="auto"/>
            </w:tcBorders>
            <w:shd w:val="clear" w:color="auto" w:fill="auto"/>
            <w:noWrap/>
            <w:vAlign w:val="center"/>
            <w:hideMark/>
          </w:tcPr>
          <w:p w14:paraId="715AAEE7" w14:textId="77777777" w:rsidR="009F21DD" w:rsidRPr="00B42A88" w:rsidRDefault="009F21DD" w:rsidP="009F21DD">
            <w:pPr>
              <w:spacing w:after="0"/>
              <w:jc w:val="right"/>
              <w:rPr>
                <w:rFonts w:cs="Arial"/>
              </w:rPr>
            </w:pPr>
            <w:r w:rsidRPr="00B42A88">
              <w:rPr>
                <w:rFonts w:cs="Arial"/>
                <w:color w:val="000000"/>
              </w:rPr>
              <w:t>(2,173)</w:t>
            </w:r>
          </w:p>
        </w:tc>
        <w:tc>
          <w:tcPr>
            <w:tcW w:w="1240" w:type="dxa"/>
            <w:tcBorders>
              <w:top w:val="nil"/>
              <w:left w:val="nil"/>
              <w:bottom w:val="single" w:sz="4" w:space="0" w:color="auto"/>
              <w:right w:val="single" w:sz="4" w:space="0" w:color="auto"/>
            </w:tcBorders>
            <w:shd w:val="clear" w:color="auto" w:fill="auto"/>
            <w:noWrap/>
            <w:vAlign w:val="center"/>
            <w:hideMark/>
          </w:tcPr>
          <w:p w14:paraId="3EF4C8BB" w14:textId="77777777" w:rsidR="009F21DD" w:rsidRPr="00B42A88" w:rsidRDefault="009F21DD" w:rsidP="009F21DD">
            <w:pPr>
              <w:spacing w:after="0"/>
              <w:jc w:val="right"/>
              <w:rPr>
                <w:rFonts w:cs="Arial"/>
              </w:rPr>
            </w:pPr>
            <w:r w:rsidRPr="00B42A88">
              <w:rPr>
                <w:rFonts w:cs="Arial"/>
                <w:color w:val="000000"/>
              </w:rPr>
              <w:t>(2,074)</w:t>
            </w:r>
          </w:p>
        </w:tc>
        <w:tc>
          <w:tcPr>
            <w:tcW w:w="1240" w:type="dxa"/>
            <w:tcBorders>
              <w:top w:val="nil"/>
              <w:left w:val="nil"/>
              <w:bottom w:val="single" w:sz="4" w:space="0" w:color="auto"/>
              <w:right w:val="single" w:sz="4" w:space="0" w:color="auto"/>
            </w:tcBorders>
            <w:shd w:val="clear" w:color="auto" w:fill="auto"/>
            <w:noWrap/>
            <w:vAlign w:val="center"/>
            <w:hideMark/>
          </w:tcPr>
          <w:p w14:paraId="4FC58EAA" w14:textId="77777777" w:rsidR="009F21DD" w:rsidRPr="00B42A88" w:rsidRDefault="009F21DD" w:rsidP="009F21DD">
            <w:pPr>
              <w:spacing w:after="0"/>
              <w:jc w:val="right"/>
              <w:rPr>
                <w:rFonts w:cs="Arial"/>
              </w:rPr>
            </w:pPr>
            <w:r w:rsidRPr="00B42A88">
              <w:rPr>
                <w:rFonts w:cs="Arial"/>
                <w:color w:val="000000"/>
              </w:rPr>
              <w:t>(1,752)</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68FEFCB4" w14:textId="77777777" w:rsidR="009F21DD" w:rsidRPr="00B42A88" w:rsidRDefault="009F21DD" w:rsidP="009F21DD">
            <w:pPr>
              <w:spacing w:after="0"/>
              <w:jc w:val="right"/>
              <w:rPr>
                <w:rFonts w:cs="Arial"/>
              </w:rPr>
            </w:pPr>
            <w:r w:rsidRPr="00B42A88">
              <w:rPr>
                <w:rFonts w:cs="Arial"/>
              </w:rPr>
              <w:t>436</w:t>
            </w:r>
          </w:p>
        </w:tc>
        <w:tc>
          <w:tcPr>
            <w:tcW w:w="1240" w:type="dxa"/>
            <w:tcBorders>
              <w:top w:val="nil"/>
              <w:left w:val="nil"/>
              <w:bottom w:val="single" w:sz="4" w:space="0" w:color="auto"/>
              <w:right w:val="single" w:sz="4" w:space="0" w:color="auto"/>
            </w:tcBorders>
            <w:shd w:val="clear" w:color="auto" w:fill="auto"/>
            <w:noWrap/>
            <w:vAlign w:val="center"/>
            <w:hideMark/>
          </w:tcPr>
          <w:p w14:paraId="19316347" w14:textId="77777777" w:rsidR="009F21DD" w:rsidRPr="00B42A88" w:rsidRDefault="009F21DD" w:rsidP="009F21DD">
            <w:pPr>
              <w:spacing w:after="0"/>
              <w:jc w:val="right"/>
              <w:rPr>
                <w:rFonts w:cs="Arial"/>
              </w:rPr>
            </w:pPr>
            <w:r w:rsidRPr="00B42A88">
              <w:rPr>
                <w:rFonts w:cs="Arial"/>
              </w:rPr>
              <w:t>1,462</w:t>
            </w:r>
          </w:p>
        </w:tc>
      </w:tr>
      <w:tr w:rsidR="009F21DD" w:rsidRPr="00294B41" w14:paraId="55FF61E9" w14:textId="77777777" w:rsidTr="009F21DD">
        <w:trPr>
          <w:trHeight w:val="300"/>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7C6374C"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5A441AB3"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01C138CC"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CAC8F92"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330CCD5A"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2EC31A" w14:textId="77777777" w:rsidR="009F21DD" w:rsidRPr="00B42A88" w:rsidRDefault="009F21DD" w:rsidP="009F21DD">
            <w:pPr>
              <w:spacing w:after="0"/>
              <w:rPr>
                <w:rFonts w:cs="Arial"/>
              </w:rPr>
            </w:pPr>
            <w:r w:rsidRPr="00B42A88">
              <w:rPr>
                <w:rFonts w:cs="Arial"/>
              </w:rPr>
              <w:t> </w:t>
            </w:r>
          </w:p>
        </w:tc>
      </w:tr>
      <w:tr w:rsidR="009F21DD" w:rsidRPr="00294B41" w14:paraId="7F56924E" w14:textId="77777777" w:rsidTr="009F21DD">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hideMark/>
          </w:tcPr>
          <w:p w14:paraId="415BFA97" w14:textId="77777777" w:rsidR="009F21DD" w:rsidRPr="00B42A88" w:rsidRDefault="009F21DD" w:rsidP="009F21DD">
            <w:pPr>
              <w:spacing w:after="0"/>
              <w:rPr>
                <w:rFonts w:cs="Arial"/>
                <w:b/>
                <w:bCs/>
              </w:rPr>
            </w:pPr>
            <w:r w:rsidRPr="00B42A88">
              <w:rPr>
                <w:rFonts w:cs="Arial"/>
                <w:b/>
                <w:bCs/>
              </w:rPr>
              <w:t xml:space="preserve">Total </w:t>
            </w:r>
          </w:p>
        </w:tc>
        <w:tc>
          <w:tcPr>
            <w:tcW w:w="1240" w:type="dxa"/>
            <w:tcBorders>
              <w:top w:val="nil"/>
              <w:left w:val="nil"/>
              <w:bottom w:val="single" w:sz="4" w:space="0" w:color="auto"/>
              <w:right w:val="single" w:sz="4" w:space="0" w:color="auto"/>
            </w:tcBorders>
            <w:shd w:val="clear" w:color="000000" w:fill="D9D9D9"/>
            <w:noWrap/>
            <w:vAlign w:val="center"/>
            <w:hideMark/>
          </w:tcPr>
          <w:p w14:paraId="00A94F9F" w14:textId="77777777" w:rsidR="009F21DD" w:rsidRPr="00B42A88" w:rsidRDefault="009F21DD" w:rsidP="009F21DD">
            <w:pPr>
              <w:spacing w:after="0"/>
              <w:jc w:val="right"/>
              <w:rPr>
                <w:rFonts w:cs="Arial"/>
                <w:b/>
              </w:rPr>
            </w:pPr>
            <w:r w:rsidRPr="00B42A88">
              <w:rPr>
                <w:rFonts w:cs="Arial"/>
                <w:b/>
                <w:color w:val="000000"/>
              </w:rPr>
              <w:t>(641)</w:t>
            </w:r>
          </w:p>
        </w:tc>
        <w:tc>
          <w:tcPr>
            <w:tcW w:w="1240" w:type="dxa"/>
            <w:tcBorders>
              <w:top w:val="nil"/>
              <w:left w:val="nil"/>
              <w:bottom w:val="single" w:sz="4" w:space="0" w:color="auto"/>
              <w:right w:val="single" w:sz="4" w:space="0" w:color="auto"/>
            </w:tcBorders>
            <w:shd w:val="clear" w:color="000000" w:fill="D9D9D9"/>
            <w:noWrap/>
            <w:vAlign w:val="center"/>
            <w:hideMark/>
          </w:tcPr>
          <w:p w14:paraId="7A60354A" w14:textId="77777777" w:rsidR="009F21DD" w:rsidRPr="00B42A88" w:rsidRDefault="009F21DD" w:rsidP="009F21DD">
            <w:pPr>
              <w:spacing w:after="0"/>
              <w:jc w:val="right"/>
              <w:rPr>
                <w:rFonts w:cs="Arial"/>
                <w:b/>
              </w:rPr>
            </w:pPr>
            <w:r w:rsidRPr="00B42A88">
              <w:rPr>
                <w:rFonts w:cs="Arial"/>
                <w:b/>
              </w:rPr>
              <w:t>1,120</w:t>
            </w:r>
          </w:p>
        </w:tc>
        <w:tc>
          <w:tcPr>
            <w:tcW w:w="1240" w:type="dxa"/>
            <w:tcBorders>
              <w:top w:val="nil"/>
              <w:left w:val="nil"/>
              <w:bottom w:val="single" w:sz="4" w:space="0" w:color="auto"/>
              <w:right w:val="single" w:sz="4" w:space="0" w:color="auto"/>
            </w:tcBorders>
            <w:shd w:val="clear" w:color="000000" w:fill="D9D9D9"/>
            <w:noWrap/>
            <w:vAlign w:val="center"/>
            <w:hideMark/>
          </w:tcPr>
          <w:p w14:paraId="57E9505E" w14:textId="77777777" w:rsidR="009F21DD" w:rsidRPr="00B42A88" w:rsidRDefault="009F21DD" w:rsidP="009F21DD">
            <w:pPr>
              <w:spacing w:after="0"/>
              <w:jc w:val="right"/>
              <w:rPr>
                <w:rFonts w:cs="Arial"/>
                <w:b/>
              </w:rPr>
            </w:pPr>
            <w:r w:rsidRPr="00B42A88">
              <w:rPr>
                <w:rFonts w:cs="Arial"/>
                <w:b/>
              </w:rPr>
              <w:t>474</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2CBD0E86" w14:textId="77777777" w:rsidR="009F21DD" w:rsidRPr="00B42A88" w:rsidRDefault="009F21DD" w:rsidP="009F21DD">
            <w:pPr>
              <w:spacing w:after="0"/>
              <w:jc w:val="right"/>
              <w:rPr>
                <w:rFonts w:cs="Arial"/>
                <w:b/>
              </w:rPr>
            </w:pPr>
            <w:r w:rsidRPr="00B42A88">
              <w:rPr>
                <w:rFonts w:cs="Arial"/>
                <w:b/>
              </w:rPr>
              <w:t>1,817</w:t>
            </w:r>
          </w:p>
        </w:tc>
        <w:tc>
          <w:tcPr>
            <w:tcW w:w="1240" w:type="dxa"/>
            <w:tcBorders>
              <w:top w:val="nil"/>
              <w:left w:val="nil"/>
              <w:bottom w:val="single" w:sz="4" w:space="0" w:color="auto"/>
              <w:right w:val="single" w:sz="4" w:space="0" w:color="auto"/>
            </w:tcBorders>
            <w:shd w:val="clear" w:color="000000" w:fill="D9D9D9"/>
            <w:noWrap/>
            <w:vAlign w:val="center"/>
            <w:hideMark/>
          </w:tcPr>
          <w:p w14:paraId="6BE3057E" w14:textId="77777777" w:rsidR="009F21DD" w:rsidRPr="00B42A88" w:rsidRDefault="009F21DD" w:rsidP="009F21DD">
            <w:pPr>
              <w:spacing w:after="0"/>
              <w:jc w:val="right"/>
              <w:rPr>
                <w:rFonts w:cs="Arial"/>
                <w:b/>
              </w:rPr>
            </w:pPr>
            <w:r w:rsidRPr="00B42A88">
              <w:rPr>
                <w:rFonts w:cs="Arial"/>
                <w:b/>
              </w:rPr>
              <w:t>2,249</w:t>
            </w:r>
          </w:p>
        </w:tc>
      </w:tr>
      <w:tr w:rsidR="009F21DD" w:rsidRPr="00294B41" w14:paraId="07AEE2A7" w14:textId="77777777" w:rsidTr="009F21DD">
        <w:trPr>
          <w:trHeight w:val="285"/>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737AAF4"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A62CC7"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B10BBD7"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6C02F028"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47C4328E" w14:textId="77777777" w:rsidR="009F21DD" w:rsidRPr="00B42A88" w:rsidRDefault="009F21DD" w:rsidP="009F21DD">
            <w:pPr>
              <w:spacing w:after="0"/>
              <w:rPr>
                <w:rFonts w:cs="Arial"/>
              </w:rPr>
            </w:pPr>
            <w:r w:rsidRPr="00B42A88">
              <w:rPr>
                <w:rFonts w:cs="Aria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CD44D86" w14:textId="77777777" w:rsidR="009F21DD" w:rsidRPr="00B42A88" w:rsidRDefault="009F21DD" w:rsidP="009F21DD">
            <w:pPr>
              <w:spacing w:after="0"/>
              <w:rPr>
                <w:rFonts w:cs="Arial"/>
              </w:rPr>
            </w:pPr>
            <w:r w:rsidRPr="00B42A88">
              <w:rPr>
                <w:rFonts w:cs="Arial"/>
              </w:rPr>
              <w:t> </w:t>
            </w:r>
          </w:p>
        </w:tc>
      </w:tr>
      <w:tr w:rsidR="009F21DD" w:rsidRPr="00294B41" w14:paraId="75404E50" w14:textId="77777777" w:rsidTr="009F21DD">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hideMark/>
          </w:tcPr>
          <w:p w14:paraId="5B39D365" w14:textId="77777777" w:rsidR="009F21DD" w:rsidRPr="00B42A88" w:rsidRDefault="009F21DD" w:rsidP="009F21DD">
            <w:pPr>
              <w:spacing w:after="0"/>
              <w:rPr>
                <w:rFonts w:cs="Arial"/>
                <w:b/>
                <w:bCs/>
              </w:rPr>
            </w:pPr>
            <w:r w:rsidRPr="00B42A88">
              <w:rPr>
                <w:rFonts w:cs="Arial"/>
                <w:b/>
                <w:bCs/>
              </w:rPr>
              <w:t>Net total</w:t>
            </w:r>
          </w:p>
        </w:tc>
        <w:tc>
          <w:tcPr>
            <w:tcW w:w="1240" w:type="dxa"/>
            <w:tcBorders>
              <w:top w:val="nil"/>
              <w:left w:val="nil"/>
              <w:bottom w:val="single" w:sz="4" w:space="0" w:color="auto"/>
              <w:right w:val="single" w:sz="4" w:space="0" w:color="auto"/>
            </w:tcBorders>
            <w:shd w:val="clear" w:color="000000" w:fill="D9D9D9"/>
            <w:noWrap/>
            <w:vAlign w:val="center"/>
            <w:hideMark/>
          </w:tcPr>
          <w:p w14:paraId="546FA268" w14:textId="77777777" w:rsidR="009F21DD" w:rsidRPr="00B42A88" w:rsidRDefault="009F21DD" w:rsidP="009F21DD">
            <w:pPr>
              <w:spacing w:after="0"/>
              <w:jc w:val="right"/>
              <w:rPr>
                <w:rFonts w:cs="Arial"/>
                <w:b/>
              </w:rPr>
            </w:pPr>
            <w:r w:rsidRPr="00B42A88">
              <w:rPr>
                <w:rFonts w:cs="Arial"/>
                <w:b/>
              </w:rPr>
              <w:t>0</w:t>
            </w:r>
          </w:p>
        </w:tc>
        <w:tc>
          <w:tcPr>
            <w:tcW w:w="1240" w:type="dxa"/>
            <w:tcBorders>
              <w:top w:val="nil"/>
              <w:left w:val="nil"/>
              <w:bottom w:val="single" w:sz="4" w:space="0" w:color="auto"/>
              <w:right w:val="single" w:sz="4" w:space="0" w:color="auto"/>
            </w:tcBorders>
            <w:shd w:val="clear" w:color="000000" w:fill="D9D9D9"/>
            <w:noWrap/>
            <w:vAlign w:val="center"/>
            <w:hideMark/>
          </w:tcPr>
          <w:p w14:paraId="59B64C04" w14:textId="77777777" w:rsidR="009F21DD" w:rsidRPr="00B42A88" w:rsidRDefault="009F21DD" w:rsidP="009F21DD">
            <w:pPr>
              <w:spacing w:after="0"/>
              <w:jc w:val="right"/>
              <w:rPr>
                <w:rFonts w:cs="Arial"/>
                <w:b/>
              </w:rPr>
            </w:pPr>
            <w:r w:rsidRPr="00B42A88">
              <w:rPr>
                <w:rFonts w:cs="Arial"/>
                <w:b/>
              </w:rPr>
              <w:t>0</w:t>
            </w:r>
          </w:p>
        </w:tc>
        <w:tc>
          <w:tcPr>
            <w:tcW w:w="1240" w:type="dxa"/>
            <w:tcBorders>
              <w:top w:val="nil"/>
              <w:left w:val="nil"/>
              <w:bottom w:val="single" w:sz="4" w:space="0" w:color="auto"/>
              <w:right w:val="single" w:sz="4" w:space="0" w:color="auto"/>
            </w:tcBorders>
            <w:shd w:val="clear" w:color="000000" w:fill="D9D9D9"/>
            <w:noWrap/>
            <w:vAlign w:val="center"/>
            <w:hideMark/>
          </w:tcPr>
          <w:p w14:paraId="418F264C" w14:textId="77777777" w:rsidR="009F21DD" w:rsidRPr="00B42A88" w:rsidRDefault="009F21DD" w:rsidP="009F21DD">
            <w:pPr>
              <w:spacing w:after="0"/>
              <w:jc w:val="right"/>
              <w:rPr>
                <w:rFonts w:cs="Arial"/>
                <w:b/>
              </w:rPr>
            </w:pPr>
            <w:r w:rsidRPr="00B42A88">
              <w:rPr>
                <w:rFonts w:cs="Arial"/>
                <w:b/>
              </w:rPr>
              <w:t>0</w:t>
            </w:r>
          </w:p>
        </w:tc>
        <w:tc>
          <w:tcPr>
            <w:tcW w:w="1240" w:type="dxa"/>
            <w:tcBorders>
              <w:top w:val="nil"/>
              <w:left w:val="nil"/>
              <w:bottom w:val="single" w:sz="4" w:space="0" w:color="auto"/>
              <w:right w:val="single" w:sz="4" w:space="0" w:color="auto"/>
            </w:tcBorders>
            <w:shd w:val="clear" w:color="auto" w:fill="FFE599" w:themeFill="accent4" w:themeFillTint="66"/>
            <w:noWrap/>
            <w:vAlign w:val="center"/>
            <w:hideMark/>
          </w:tcPr>
          <w:p w14:paraId="2BBCFA37" w14:textId="77777777" w:rsidR="009F21DD" w:rsidRPr="00B42A88" w:rsidRDefault="009F21DD" w:rsidP="009F21DD">
            <w:pPr>
              <w:spacing w:after="0"/>
              <w:jc w:val="right"/>
              <w:rPr>
                <w:rFonts w:cs="Arial"/>
                <w:b/>
              </w:rPr>
            </w:pPr>
            <w:r w:rsidRPr="00B42A88">
              <w:rPr>
                <w:rFonts w:cs="Arial"/>
                <w:b/>
              </w:rPr>
              <w:t>0</w:t>
            </w:r>
          </w:p>
        </w:tc>
        <w:tc>
          <w:tcPr>
            <w:tcW w:w="1240" w:type="dxa"/>
            <w:tcBorders>
              <w:top w:val="nil"/>
              <w:left w:val="nil"/>
              <w:bottom w:val="single" w:sz="4" w:space="0" w:color="auto"/>
              <w:right w:val="single" w:sz="4" w:space="0" w:color="auto"/>
            </w:tcBorders>
            <w:shd w:val="clear" w:color="000000" w:fill="D9D9D9"/>
            <w:noWrap/>
            <w:vAlign w:val="center"/>
            <w:hideMark/>
          </w:tcPr>
          <w:p w14:paraId="0BD7EA33" w14:textId="77777777" w:rsidR="009F21DD" w:rsidRPr="00B42A88" w:rsidRDefault="009F21DD" w:rsidP="009F21DD">
            <w:pPr>
              <w:spacing w:after="0"/>
              <w:jc w:val="right"/>
              <w:rPr>
                <w:rFonts w:cs="Arial"/>
                <w:b/>
              </w:rPr>
            </w:pPr>
            <w:r w:rsidRPr="00B42A88">
              <w:rPr>
                <w:rFonts w:cs="Arial"/>
                <w:b/>
              </w:rPr>
              <w:t>0</w:t>
            </w:r>
          </w:p>
        </w:tc>
      </w:tr>
    </w:tbl>
    <w:p w14:paraId="3F093E36" w14:textId="77777777" w:rsidR="009F21DD" w:rsidRDefault="009F21DD"/>
    <w:p w14:paraId="73AF3D10" w14:textId="77777777" w:rsidR="00B42A88" w:rsidRDefault="00B42A88" w:rsidP="00B42A88">
      <w:pPr>
        <w:ind w:left="0" w:firstLine="0"/>
        <w:rPr>
          <w:b/>
        </w:rPr>
      </w:pPr>
    </w:p>
    <w:p w14:paraId="1F17A5BB" w14:textId="77777777" w:rsidR="009F21DD" w:rsidRPr="00103C35" w:rsidRDefault="00103C35" w:rsidP="00B42A88">
      <w:pPr>
        <w:ind w:left="0" w:firstLine="0"/>
        <w:rPr>
          <w:b/>
        </w:rPr>
      </w:pPr>
      <w:r w:rsidRPr="00103C35">
        <w:rPr>
          <w:b/>
        </w:rPr>
        <w:lastRenderedPageBreak/>
        <w:t>APPENDIX B – LGA Pressures and Risks and Opportunities</w:t>
      </w:r>
    </w:p>
    <w:p w14:paraId="693DC6BB" w14:textId="77777777" w:rsidR="00103C35" w:rsidRDefault="00103C35" w:rsidP="00B42A88">
      <w:pPr>
        <w:ind w:left="0" w:firstLine="0"/>
      </w:pPr>
      <w:r>
        <w:t>The Financial Strategy identified a number of budget pressures or opportunities over the three year period. These are identified with the impact shown as the variance from the Strategy baseline (2016/17 forecast outturn):</w:t>
      </w:r>
    </w:p>
    <w:tbl>
      <w:tblPr>
        <w:tblW w:w="7760" w:type="dxa"/>
        <w:tblInd w:w="607" w:type="dxa"/>
        <w:tblLook w:val="04A0" w:firstRow="1" w:lastRow="0" w:firstColumn="1" w:lastColumn="0" w:noHBand="0" w:noVBand="1"/>
      </w:tblPr>
      <w:tblGrid>
        <w:gridCol w:w="4415"/>
        <w:gridCol w:w="1115"/>
        <w:gridCol w:w="1115"/>
        <w:gridCol w:w="1115"/>
      </w:tblGrid>
      <w:tr w:rsidR="00103C35" w:rsidRPr="009E0082" w14:paraId="7B66BB21" w14:textId="77777777" w:rsidTr="00103C35">
        <w:trPr>
          <w:trHeight w:val="600"/>
        </w:trPr>
        <w:tc>
          <w:tcPr>
            <w:tcW w:w="472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FDDEEF" w14:textId="77777777" w:rsidR="00103C35" w:rsidRPr="009E0082" w:rsidRDefault="00103C35" w:rsidP="00103C35">
            <w:pPr>
              <w:spacing w:after="0"/>
              <w:rPr>
                <w:rFonts w:cs="Arial"/>
                <w:b/>
                <w:bCs/>
              </w:rPr>
            </w:pPr>
            <w:r w:rsidRPr="009E0082">
              <w:rPr>
                <w:rFonts w:cs="Arial"/>
                <w:b/>
                <w:bCs/>
              </w:rPr>
              <w:t>Budget pressure or (opportunity)</w:t>
            </w:r>
          </w:p>
        </w:tc>
        <w:tc>
          <w:tcPr>
            <w:tcW w:w="1012" w:type="dxa"/>
            <w:tcBorders>
              <w:top w:val="single" w:sz="4" w:space="0" w:color="auto"/>
              <w:left w:val="nil"/>
              <w:bottom w:val="single" w:sz="4" w:space="0" w:color="auto"/>
              <w:right w:val="single" w:sz="4" w:space="0" w:color="auto"/>
            </w:tcBorders>
            <w:shd w:val="clear" w:color="000000" w:fill="BFBFBF"/>
            <w:hideMark/>
          </w:tcPr>
          <w:p w14:paraId="035E38FD" w14:textId="77777777" w:rsidR="00103C35" w:rsidRPr="009E0082" w:rsidRDefault="00103C35" w:rsidP="00103C35">
            <w:pPr>
              <w:spacing w:after="0"/>
              <w:rPr>
                <w:rFonts w:cs="Arial"/>
                <w:b/>
                <w:bCs/>
              </w:rPr>
            </w:pPr>
            <w:r w:rsidRPr="009E0082">
              <w:rPr>
                <w:rFonts w:cs="Arial"/>
                <w:b/>
                <w:bCs/>
              </w:rPr>
              <w:t>2017/18</w:t>
            </w:r>
            <w:r w:rsidRPr="009E0082">
              <w:rPr>
                <w:rFonts w:cs="Arial"/>
                <w:b/>
                <w:bCs/>
              </w:rPr>
              <w:br/>
              <w:t>£'000</w:t>
            </w:r>
          </w:p>
        </w:tc>
        <w:tc>
          <w:tcPr>
            <w:tcW w:w="1012" w:type="dxa"/>
            <w:tcBorders>
              <w:top w:val="single" w:sz="4" w:space="0" w:color="auto"/>
              <w:left w:val="nil"/>
              <w:bottom w:val="single" w:sz="4" w:space="0" w:color="auto"/>
              <w:right w:val="single" w:sz="4" w:space="0" w:color="auto"/>
            </w:tcBorders>
            <w:shd w:val="clear" w:color="000000" w:fill="BFBFBF"/>
            <w:hideMark/>
          </w:tcPr>
          <w:p w14:paraId="50BD044C" w14:textId="77777777" w:rsidR="00103C35" w:rsidRPr="009E0082" w:rsidRDefault="00103C35" w:rsidP="00103C35">
            <w:pPr>
              <w:spacing w:after="0"/>
              <w:rPr>
                <w:rFonts w:cs="Arial"/>
                <w:b/>
                <w:bCs/>
              </w:rPr>
            </w:pPr>
            <w:r w:rsidRPr="009E0082">
              <w:rPr>
                <w:rFonts w:cs="Arial"/>
                <w:b/>
                <w:bCs/>
              </w:rPr>
              <w:t>2018/19</w:t>
            </w:r>
            <w:r w:rsidRPr="009E0082">
              <w:rPr>
                <w:rFonts w:cs="Arial"/>
                <w:b/>
                <w:bCs/>
              </w:rPr>
              <w:br/>
              <w:t>£'000</w:t>
            </w:r>
          </w:p>
        </w:tc>
        <w:tc>
          <w:tcPr>
            <w:tcW w:w="1012" w:type="dxa"/>
            <w:tcBorders>
              <w:top w:val="single" w:sz="4" w:space="0" w:color="auto"/>
              <w:left w:val="nil"/>
              <w:bottom w:val="single" w:sz="4" w:space="0" w:color="auto"/>
              <w:right w:val="single" w:sz="4" w:space="0" w:color="auto"/>
            </w:tcBorders>
            <w:shd w:val="clear" w:color="000000" w:fill="BFBFBF"/>
            <w:hideMark/>
          </w:tcPr>
          <w:p w14:paraId="7E5AC5E4" w14:textId="77777777" w:rsidR="00103C35" w:rsidRPr="009E0082" w:rsidRDefault="00103C35" w:rsidP="00103C35">
            <w:pPr>
              <w:spacing w:after="0"/>
              <w:rPr>
                <w:rFonts w:cs="Arial"/>
                <w:b/>
                <w:bCs/>
              </w:rPr>
            </w:pPr>
            <w:r w:rsidRPr="009E0082">
              <w:rPr>
                <w:rFonts w:cs="Arial"/>
                <w:b/>
                <w:bCs/>
              </w:rPr>
              <w:t>2019/20</w:t>
            </w:r>
            <w:r w:rsidRPr="009E0082">
              <w:rPr>
                <w:rFonts w:cs="Arial"/>
                <w:b/>
                <w:bCs/>
              </w:rPr>
              <w:br/>
              <w:t>£'000</w:t>
            </w:r>
          </w:p>
        </w:tc>
      </w:tr>
      <w:tr w:rsidR="00103C35" w:rsidRPr="009E0082" w14:paraId="081FED1C"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2F25D235" w14:textId="77777777" w:rsidR="00103C35" w:rsidRPr="009E0082" w:rsidRDefault="00103C35" w:rsidP="00103C35">
            <w:pPr>
              <w:spacing w:after="0"/>
              <w:rPr>
                <w:rFonts w:cs="Arial"/>
                <w:color w:val="000000"/>
              </w:rPr>
            </w:pPr>
            <w:r w:rsidRPr="009E0082">
              <w:rPr>
                <w:rFonts w:cs="Arial"/>
                <w:color w:val="000000"/>
              </w:rPr>
              <w:t xml:space="preserve">Increments, Pay awards, Pensions </w:t>
            </w:r>
            <w:proofErr w:type="spellStart"/>
            <w:r w:rsidRPr="009E0082">
              <w:rPr>
                <w:rFonts w:cs="Arial"/>
                <w:color w:val="000000"/>
              </w:rPr>
              <w:t>Oncosts</w:t>
            </w:r>
            <w:proofErr w:type="spellEnd"/>
            <w:r w:rsidRPr="009E0082">
              <w:rPr>
                <w:rFonts w:cs="Arial"/>
                <w:color w:val="000000"/>
              </w:rPr>
              <w:t xml:space="preserve"> and Apprenticeship levy adding 4% to costs</w:t>
            </w:r>
          </w:p>
        </w:tc>
        <w:tc>
          <w:tcPr>
            <w:tcW w:w="1012" w:type="dxa"/>
            <w:tcBorders>
              <w:top w:val="nil"/>
              <w:left w:val="nil"/>
              <w:bottom w:val="single" w:sz="4" w:space="0" w:color="auto"/>
              <w:right w:val="single" w:sz="4" w:space="0" w:color="auto"/>
            </w:tcBorders>
            <w:shd w:val="clear" w:color="auto" w:fill="auto"/>
            <w:noWrap/>
            <w:vAlign w:val="center"/>
            <w:hideMark/>
          </w:tcPr>
          <w:p w14:paraId="58FE0069" w14:textId="77777777" w:rsidR="00103C35" w:rsidRPr="009E0082" w:rsidRDefault="00103C35" w:rsidP="00103C35">
            <w:pPr>
              <w:spacing w:after="0"/>
              <w:jc w:val="right"/>
              <w:rPr>
                <w:rFonts w:cs="Arial"/>
              </w:rPr>
            </w:pPr>
            <w:r w:rsidRPr="009E0082">
              <w:rPr>
                <w:rFonts w:cs="Arial"/>
              </w:rPr>
              <w:t>363</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2362AF16" w14:textId="77777777" w:rsidR="00103C35" w:rsidRPr="009E0082" w:rsidRDefault="00103C35" w:rsidP="00103C35">
            <w:pPr>
              <w:spacing w:after="0"/>
              <w:jc w:val="right"/>
              <w:rPr>
                <w:rFonts w:cs="Arial"/>
              </w:rPr>
            </w:pPr>
            <w:r w:rsidRPr="009E0082">
              <w:rPr>
                <w:rFonts w:cs="Arial"/>
              </w:rPr>
              <w:t>560</w:t>
            </w:r>
          </w:p>
        </w:tc>
        <w:tc>
          <w:tcPr>
            <w:tcW w:w="1012" w:type="dxa"/>
            <w:tcBorders>
              <w:top w:val="nil"/>
              <w:left w:val="nil"/>
              <w:bottom w:val="single" w:sz="4" w:space="0" w:color="auto"/>
              <w:right w:val="single" w:sz="4" w:space="0" w:color="auto"/>
            </w:tcBorders>
            <w:shd w:val="clear" w:color="auto" w:fill="auto"/>
            <w:noWrap/>
            <w:vAlign w:val="center"/>
            <w:hideMark/>
          </w:tcPr>
          <w:p w14:paraId="1BE3AAE6" w14:textId="77777777" w:rsidR="00103C35" w:rsidRPr="009E0082" w:rsidRDefault="00103C35" w:rsidP="00103C35">
            <w:pPr>
              <w:spacing w:after="0"/>
              <w:jc w:val="right"/>
              <w:rPr>
                <w:rFonts w:cs="Arial"/>
              </w:rPr>
            </w:pPr>
            <w:r w:rsidRPr="009E0082">
              <w:rPr>
                <w:rFonts w:cs="Arial"/>
              </w:rPr>
              <w:t>764</w:t>
            </w:r>
          </w:p>
        </w:tc>
      </w:tr>
      <w:tr w:rsidR="00103C35" w:rsidRPr="009E0082" w14:paraId="40D28851"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4BD7FD73" w14:textId="77777777" w:rsidR="00103C35" w:rsidRPr="009E0082" w:rsidRDefault="00103C35" w:rsidP="00103C35">
            <w:pPr>
              <w:spacing w:after="0"/>
              <w:rPr>
                <w:rFonts w:cs="Arial"/>
                <w:color w:val="000000"/>
              </w:rPr>
            </w:pPr>
            <w:r w:rsidRPr="009E0082">
              <w:rPr>
                <w:rFonts w:cs="Arial"/>
                <w:color w:val="000000"/>
              </w:rPr>
              <w:t>Pension Deficit Repayments</w:t>
            </w:r>
          </w:p>
        </w:tc>
        <w:tc>
          <w:tcPr>
            <w:tcW w:w="1012" w:type="dxa"/>
            <w:tcBorders>
              <w:top w:val="nil"/>
              <w:left w:val="nil"/>
              <w:bottom w:val="single" w:sz="4" w:space="0" w:color="auto"/>
              <w:right w:val="single" w:sz="4" w:space="0" w:color="auto"/>
            </w:tcBorders>
            <w:shd w:val="clear" w:color="auto" w:fill="auto"/>
            <w:noWrap/>
            <w:vAlign w:val="center"/>
            <w:hideMark/>
          </w:tcPr>
          <w:p w14:paraId="3822FA0C" w14:textId="77777777" w:rsidR="00103C35" w:rsidRPr="009E0082" w:rsidRDefault="00103C35" w:rsidP="00103C35">
            <w:pPr>
              <w:spacing w:after="0"/>
              <w:jc w:val="right"/>
              <w:rPr>
                <w:rFonts w:cs="Arial"/>
              </w:rPr>
            </w:pPr>
            <w:r w:rsidRPr="009E0082">
              <w:rPr>
                <w:rFonts w:cs="Arial"/>
              </w:rPr>
              <w:t>1,114</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30DF6CF6" w14:textId="77777777" w:rsidR="00103C35" w:rsidRPr="009E0082" w:rsidRDefault="00103C35" w:rsidP="00103C35">
            <w:pPr>
              <w:spacing w:after="0"/>
              <w:jc w:val="right"/>
              <w:rPr>
                <w:rFonts w:cs="Arial"/>
              </w:rPr>
            </w:pPr>
            <w:r w:rsidRPr="009E0082">
              <w:rPr>
                <w:rFonts w:cs="Arial"/>
              </w:rPr>
              <w:t>1,155</w:t>
            </w:r>
          </w:p>
        </w:tc>
        <w:tc>
          <w:tcPr>
            <w:tcW w:w="1012" w:type="dxa"/>
            <w:tcBorders>
              <w:top w:val="nil"/>
              <w:left w:val="nil"/>
              <w:bottom w:val="single" w:sz="4" w:space="0" w:color="auto"/>
              <w:right w:val="single" w:sz="4" w:space="0" w:color="auto"/>
            </w:tcBorders>
            <w:shd w:val="clear" w:color="auto" w:fill="auto"/>
            <w:noWrap/>
            <w:vAlign w:val="center"/>
            <w:hideMark/>
          </w:tcPr>
          <w:p w14:paraId="0663E19A" w14:textId="77777777" w:rsidR="00103C35" w:rsidRPr="009E0082" w:rsidRDefault="00103C35" w:rsidP="00103C35">
            <w:pPr>
              <w:spacing w:after="0"/>
              <w:jc w:val="right"/>
              <w:rPr>
                <w:rFonts w:cs="Arial"/>
              </w:rPr>
            </w:pPr>
            <w:r w:rsidRPr="009E0082">
              <w:rPr>
                <w:rFonts w:cs="Arial"/>
              </w:rPr>
              <w:t>1,198</w:t>
            </w:r>
          </w:p>
        </w:tc>
      </w:tr>
      <w:tr w:rsidR="00103C35" w:rsidRPr="009E0082" w14:paraId="1BAD7434"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67C46E2E" w14:textId="77777777" w:rsidR="00103C35" w:rsidRPr="009E0082" w:rsidRDefault="00103C35" w:rsidP="00103C35">
            <w:pPr>
              <w:spacing w:after="0"/>
              <w:rPr>
                <w:rFonts w:cs="Arial"/>
                <w:color w:val="000000"/>
              </w:rPr>
            </w:pPr>
            <w:r w:rsidRPr="009E0082">
              <w:rPr>
                <w:rFonts w:cs="Arial"/>
                <w:color w:val="000000"/>
              </w:rPr>
              <w:t>Additional Commercial Income targets</w:t>
            </w:r>
          </w:p>
        </w:tc>
        <w:tc>
          <w:tcPr>
            <w:tcW w:w="1012" w:type="dxa"/>
            <w:tcBorders>
              <w:top w:val="nil"/>
              <w:left w:val="nil"/>
              <w:bottom w:val="single" w:sz="4" w:space="0" w:color="auto"/>
              <w:right w:val="single" w:sz="4" w:space="0" w:color="auto"/>
            </w:tcBorders>
            <w:shd w:val="clear" w:color="auto" w:fill="auto"/>
            <w:noWrap/>
            <w:vAlign w:val="center"/>
            <w:hideMark/>
          </w:tcPr>
          <w:p w14:paraId="75C3C3FB" w14:textId="77777777" w:rsidR="00103C35" w:rsidRPr="009E0082" w:rsidRDefault="00103C35" w:rsidP="00103C35">
            <w:pPr>
              <w:spacing w:after="0"/>
              <w:jc w:val="right"/>
              <w:rPr>
                <w:rFonts w:cs="Arial"/>
              </w:rPr>
            </w:pPr>
            <w:r w:rsidRPr="009E0082">
              <w:rPr>
                <w:rFonts w:cs="Arial"/>
                <w:color w:val="000000"/>
              </w:rPr>
              <w:t>(250)</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72427C40" w14:textId="77777777" w:rsidR="00103C35" w:rsidRPr="009E0082" w:rsidRDefault="00103C35" w:rsidP="00103C35">
            <w:pPr>
              <w:spacing w:after="0"/>
              <w:jc w:val="right"/>
              <w:rPr>
                <w:rFonts w:cs="Arial"/>
              </w:rPr>
            </w:pPr>
            <w:r w:rsidRPr="009E0082">
              <w:rPr>
                <w:rFonts w:cs="Arial"/>
                <w:color w:val="000000"/>
              </w:rPr>
              <w:t>(500)</w:t>
            </w:r>
          </w:p>
        </w:tc>
        <w:tc>
          <w:tcPr>
            <w:tcW w:w="1012" w:type="dxa"/>
            <w:tcBorders>
              <w:top w:val="nil"/>
              <w:left w:val="nil"/>
              <w:bottom w:val="single" w:sz="4" w:space="0" w:color="auto"/>
              <w:right w:val="single" w:sz="4" w:space="0" w:color="auto"/>
            </w:tcBorders>
            <w:shd w:val="clear" w:color="auto" w:fill="auto"/>
            <w:noWrap/>
            <w:vAlign w:val="center"/>
            <w:hideMark/>
          </w:tcPr>
          <w:p w14:paraId="7BA59E0E" w14:textId="77777777" w:rsidR="00103C35" w:rsidRPr="009E0082" w:rsidRDefault="00103C35" w:rsidP="00103C35">
            <w:pPr>
              <w:spacing w:after="0"/>
              <w:jc w:val="right"/>
              <w:rPr>
                <w:rFonts w:cs="Arial"/>
              </w:rPr>
            </w:pPr>
            <w:r w:rsidRPr="009E0082">
              <w:rPr>
                <w:rFonts w:cs="Arial"/>
                <w:color w:val="000000"/>
              </w:rPr>
              <w:t>(500)</w:t>
            </w:r>
          </w:p>
        </w:tc>
      </w:tr>
      <w:tr w:rsidR="00103C35" w:rsidRPr="009E0082" w14:paraId="60434DBA"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684F9EC5" w14:textId="77777777" w:rsidR="00103C35" w:rsidRPr="009E0082" w:rsidRDefault="00103C35" w:rsidP="00103C35">
            <w:pPr>
              <w:spacing w:after="0"/>
              <w:rPr>
                <w:rFonts w:cs="Arial"/>
                <w:color w:val="000000"/>
              </w:rPr>
            </w:pPr>
            <w:r w:rsidRPr="009E0082">
              <w:rPr>
                <w:rFonts w:cs="Arial"/>
                <w:color w:val="000000"/>
              </w:rPr>
              <w:t>ADAS conference hosted biannually by the LGA</w:t>
            </w:r>
          </w:p>
        </w:tc>
        <w:tc>
          <w:tcPr>
            <w:tcW w:w="1012" w:type="dxa"/>
            <w:tcBorders>
              <w:top w:val="nil"/>
              <w:left w:val="nil"/>
              <w:bottom w:val="single" w:sz="4" w:space="0" w:color="auto"/>
              <w:right w:val="single" w:sz="4" w:space="0" w:color="auto"/>
            </w:tcBorders>
            <w:shd w:val="clear" w:color="auto" w:fill="auto"/>
            <w:noWrap/>
            <w:vAlign w:val="center"/>
            <w:hideMark/>
          </w:tcPr>
          <w:p w14:paraId="518AC807" w14:textId="77777777" w:rsidR="00103C35" w:rsidRPr="009E0082" w:rsidRDefault="00103C35" w:rsidP="00103C35">
            <w:pPr>
              <w:spacing w:after="0"/>
              <w:jc w:val="right"/>
              <w:rPr>
                <w:rFonts w:cs="Arial"/>
              </w:rPr>
            </w:pPr>
            <w:r w:rsidRPr="009E0082">
              <w:rPr>
                <w:rFonts w:cs="Arial"/>
                <w:color w:val="000000"/>
              </w:rPr>
              <w:t>(242)</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542893ED" w14:textId="77777777" w:rsidR="00103C35" w:rsidRPr="009E0082" w:rsidRDefault="00103C35" w:rsidP="00103C35">
            <w:pPr>
              <w:spacing w:after="0"/>
              <w:jc w:val="right"/>
              <w:rPr>
                <w:rFonts w:cs="Arial"/>
              </w:rPr>
            </w:pPr>
            <w:r w:rsidRPr="009E0082">
              <w:rPr>
                <w:rFonts w:cs="Arial"/>
              </w:rPr>
              <w:t>0</w:t>
            </w:r>
          </w:p>
        </w:tc>
        <w:tc>
          <w:tcPr>
            <w:tcW w:w="1012" w:type="dxa"/>
            <w:tcBorders>
              <w:top w:val="nil"/>
              <w:left w:val="nil"/>
              <w:bottom w:val="single" w:sz="4" w:space="0" w:color="auto"/>
              <w:right w:val="single" w:sz="4" w:space="0" w:color="auto"/>
            </w:tcBorders>
            <w:shd w:val="clear" w:color="auto" w:fill="auto"/>
            <w:noWrap/>
            <w:vAlign w:val="center"/>
            <w:hideMark/>
          </w:tcPr>
          <w:p w14:paraId="33BFCDB4" w14:textId="77777777" w:rsidR="00103C35" w:rsidRPr="009E0082" w:rsidRDefault="00103C35" w:rsidP="00103C35">
            <w:pPr>
              <w:spacing w:after="0"/>
              <w:jc w:val="right"/>
              <w:rPr>
                <w:rFonts w:cs="Arial"/>
              </w:rPr>
            </w:pPr>
            <w:r w:rsidRPr="009E0082">
              <w:rPr>
                <w:rFonts w:cs="Arial"/>
                <w:color w:val="000000"/>
              </w:rPr>
              <w:t>(242)</w:t>
            </w:r>
          </w:p>
        </w:tc>
      </w:tr>
      <w:tr w:rsidR="00103C35" w:rsidRPr="009E0082" w14:paraId="5ABC15C1"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1109C286" w14:textId="77777777" w:rsidR="00103C35" w:rsidRPr="009E0082" w:rsidRDefault="00103C35" w:rsidP="00103C35">
            <w:pPr>
              <w:spacing w:after="0"/>
              <w:rPr>
                <w:rFonts w:cs="Arial"/>
                <w:color w:val="000000"/>
              </w:rPr>
            </w:pPr>
            <w:r w:rsidRPr="009E0082">
              <w:rPr>
                <w:rFonts w:cs="Arial"/>
                <w:color w:val="000000"/>
              </w:rPr>
              <w:t>Estimated Reduced DCLG grant towards LGA costs in delivering annual programme</w:t>
            </w:r>
          </w:p>
        </w:tc>
        <w:tc>
          <w:tcPr>
            <w:tcW w:w="1012" w:type="dxa"/>
            <w:tcBorders>
              <w:top w:val="nil"/>
              <w:left w:val="nil"/>
              <w:bottom w:val="single" w:sz="4" w:space="0" w:color="auto"/>
              <w:right w:val="single" w:sz="4" w:space="0" w:color="auto"/>
            </w:tcBorders>
            <w:shd w:val="clear" w:color="auto" w:fill="auto"/>
            <w:noWrap/>
            <w:vAlign w:val="center"/>
            <w:hideMark/>
          </w:tcPr>
          <w:p w14:paraId="3E783C03" w14:textId="77777777" w:rsidR="00103C35" w:rsidRPr="009E0082" w:rsidRDefault="00103C35" w:rsidP="00103C35">
            <w:pPr>
              <w:spacing w:after="0"/>
              <w:jc w:val="right"/>
              <w:rPr>
                <w:rFonts w:cs="Arial"/>
              </w:rPr>
            </w:pPr>
            <w:r w:rsidRPr="009E0082">
              <w:rPr>
                <w:rFonts w:cs="Arial"/>
              </w:rPr>
              <w:t>111</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25A314CF" w14:textId="77777777" w:rsidR="00103C35" w:rsidRPr="009E0082" w:rsidRDefault="00103C35" w:rsidP="00103C35">
            <w:pPr>
              <w:spacing w:after="0"/>
              <w:jc w:val="right"/>
              <w:rPr>
                <w:rFonts w:cs="Arial"/>
              </w:rPr>
            </w:pPr>
            <w:r w:rsidRPr="009E0082">
              <w:rPr>
                <w:rFonts w:cs="Arial"/>
              </w:rPr>
              <w:t>191</w:t>
            </w:r>
          </w:p>
        </w:tc>
        <w:tc>
          <w:tcPr>
            <w:tcW w:w="1012" w:type="dxa"/>
            <w:tcBorders>
              <w:top w:val="nil"/>
              <w:left w:val="nil"/>
              <w:bottom w:val="single" w:sz="4" w:space="0" w:color="auto"/>
              <w:right w:val="single" w:sz="4" w:space="0" w:color="auto"/>
            </w:tcBorders>
            <w:shd w:val="clear" w:color="auto" w:fill="auto"/>
            <w:noWrap/>
            <w:vAlign w:val="center"/>
            <w:hideMark/>
          </w:tcPr>
          <w:p w14:paraId="7C621B3E" w14:textId="77777777" w:rsidR="00103C35" w:rsidRPr="009E0082" w:rsidRDefault="00103C35" w:rsidP="00103C35">
            <w:pPr>
              <w:spacing w:after="0"/>
              <w:jc w:val="right"/>
              <w:rPr>
                <w:rFonts w:cs="Arial"/>
              </w:rPr>
            </w:pPr>
            <w:r w:rsidRPr="009E0082">
              <w:rPr>
                <w:rFonts w:cs="Arial"/>
              </w:rPr>
              <w:t>270</w:t>
            </w:r>
          </w:p>
        </w:tc>
      </w:tr>
      <w:tr w:rsidR="00103C35" w:rsidRPr="009E0082" w14:paraId="2375E68D"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7C9B6D3E" w14:textId="77777777" w:rsidR="00103C35" w:rsidRPr="009E0082" w:rsidRDefault="00103C35" w:rsidP="00103C35">
            <w:pPr>
              <w:spacing w:after="0"/>
              <w:rPr>
                <w:rFonts w:cs="Arial"/>
                <w:color w:val="000000"/>
              </w:rPr>
            </w:pPr>
            <w:r w:rsidRPr="009E0082">
              <w:rPr>
                <w:rFonts w:cs="Arial"/>
                <w:color w:val="000000"/>
              </w:rPr>
              <w:t>Reduced Income from Treasury Investments</w:t>
            </w:r>
          </w:p>
        </w:tc>
        <w:tc>
          <w:tcPr>
            <w:tcW w:w="1012" w:type="dxa"/>
            <w:tcBorders>
              <w:top w:val="nil"/>
              <w:left w:val="nil"/>
              <w:bottom w:val="single" w:sz="4" w:space="0" w:color="auto"/>
              <w:right w:val="single" w:sz="4" w:space="0" w:color="auto"/>
            </w:tcBorders>
            <w:shd w:val="clear" w:color="auto" w:fill="auto"/>
            <w:noWrap/>
            <w:vAlign w:val="center"/>
            <w:hideMark/>
          </w:tcPr>
          <w:p w14:paraId="71BAE572" w14:textId="77777777" w:rsidR="00103C35" w:rsidRPr="009E0082" w:rsidRDefault="00103C35" w:rsidP="00103C35">
            <w:pPr>
              <w:spacing w:after="0"/>
              <w:jc w:val="right"/>
              <w:rPr>
                <w:rFonts w:cs="Arial"/>
              </w:rPr>
            </w:pPr>
            <w:r w:rsidRPr="009E0082">
              <w:rPr>
                <w:rFonts w:cs="Arial"/>
              </w:rPr>
              <w:t>24</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2A01456B" w14:textId="77777777" w:rsidR="00103C35" w:rsidRPr="009E0082" w:rsidRDefault="00103C35" w:rsidP="00103C35">
            <w:pPr>
              <w:spacing w:after="0"/>
              <w:jc w:val="right"/>
              <w:rPr>
                <w:rFonts w:cs="Arial"/>
              </w:rPr>
            </w:pPr>
            <w:r w:rsidRPr="009E0082">
              <w:rPr>
                <w:rFonts w:cs="Arial"/>
              </w:rPr>
              <w:t>24</w:t>
            </w:r>
          </w:p>
        </w:tc>
        <w:tc>
          <w:tcPr>
            <w:tcW w:w="1012" w:type="dxa"/>
            <w:tcBorders>
              <w:top w:val="nil"/>
              <w:left w:val="nil"/>
              <w:bottom w:val="single" w:sz="4" w:space="0" w:color="auto"/>
              <w:right w:val="single" w:sz="4" w:space="0" w:color="auto"/>
            </w:tcBorders>
            <w:shd w:val="clear" w:color="auto" w:fill="auto"/>
            <w:noWrap/>
            <w:vAlign w:val="center"/>
            <w:hideMark/>
          </w:tcPr>
          <w:p w14:paraId="0DD0EF38" w14:textId="77777777" w:rsidR="00103C35" w:rsidRPr="009E0082" w:rsidRDefault="00103C35" w:rsidP="00103C35">
            <w:pPr>
              <w:spacing w:after="0"/>
              <w:jc w:val="right"/>
              <w:rPr>
                <w:rFonts w:cs="Arial"/>
              </w:rPr>
            </w:pPr>
            <w:r w:rsidRPr="009E0082">
              <w:rPr>
                <w:rFonts w:cs="Arial"/>
              </w:rPr>
              <w:t>24</w:t>
            </w:r>
          </w:p>
        </w:tc>
      </w:tr>
      <w:tr w:rsidR="00103C35" w:rsidRPr="009E0082" w14:paraId="17F28BA0"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7D1A7354" w14:textId="77777777" w:rsidR="00103C35" w:rsidRPr="009E0082" w:rsidRDefault="00103C35" w:rsidP="00103C35">
            <w:pPr>
              <w:spacing w:after="0"/>
              <w:rPr>
                <w:rFonts w:cs="Arial"/>
                <w:color w:val="000000"/>
              </w:rPr>
            </w:pPr>
            <w:r w:rsidRPr="009E0082">
              <w:rPr>
                <w:rFonts w:cs="Arial"/>
                <w:color w:val="000000"/>
              </w:rPr>
              <w:t>Additional Income from investing in Group property developments.</w:t>
            </w:r>
          </w:p>
        </w:tc>
        <w:tc>
          <w:tcPr>
            <w:tcW w:w="1012" w:type="dxa"/>
            <w:tcBorders>
              <w:top w:val="nil"/>
              <w:left w:val="nil"/>
              <w:bottom w:val="single" w:sz="4" w:space="0" w:color="auto"/>
              <w:right w:val="single" w:sz="4" w:space="0" w:color="auto"/>
            </w:tcBorders>
            <w:shd w:val="clear" w:color="auto" w:fill="auto"/>
            <w:noWrap/>
            <w:vAlign w:val="center"/>
            <w:hideMark/>
          </w:tcPr>
          <w:p w14:paraId="7AC761FC" w14:textId="77777777" w:rsidR="00103C35" w:rsidRPr="009E0082" w:rsidRDefault="00103C35" w:rsidP="00103C35">
            <w:pPr>
              <w:spacing w:after="0"/>
              <w:jc w:val="right"/>
              <w:rPr>
                <w:rFonts w:cs="Arial"/>
              </w:rPr>
            </w:pPr>
            <w:r w:rsidRPr="009E0082">
              <w:rPr>
                <w:rFonts w:cs="Arial"/>
                <w:color w:val="000000"/>
              </w:rPr>
              <w:t>(651)</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4E070625" w14:textId="77777777" w:rsidR="00103C35" w:rsidRPr="009E0082" w:rsidRDefault="00103C35" w:rsidP="00103C35">
            <w:pPr>
              <w:spacing w:after="0"/>
              <w:jc w:val="right"/>
              <w:rPr>
                <w:rFonts w:cs="Arial"/>
              </w:rPr>
            </w:pPr>
            <w:r w:rsidRPr="009E0082">
              <w:rPr>
                <w:rFonts w:cs="Arial"/>
                <w:color w:val="000000"/>
              </w:rPr>
              <w:t>(722)</w:t>
            </w:r>
          </w:p>
        </w:tc>
        <w:tc>
          <w:tcPr>
            <w:tcW w:w="1012" w:type="dxa"/>
            <w:tcBorders>
              <w:top w:val="nil"/>
              <w:left w:val="nil"/>
              <w:bottom w:val="single" w:sz="4" w:space="0" w:color="auto"/>
              <w:right w:val="single" w:sz="4" w:space="0" w:color="auto"/>
            </w:tcBorders>
            <w:shd w:val="clear" w:color="auto" w:fill="auto"/>
            <w:noWrap/>
            <w:vAlign w:val="center"/>
            <w:hideMark/>
          </w:tcPr>
          <w:p w14:paraId="7E838E2F" w14:textId="77777777" w:rsidR="00103C35" w:rsidRPr="009E0082" w:rsidRDefault="00103C35" w:rsidP="00103C35">
            <w:pPr>
              <w:spacing w:after="0"/>
              <w:jc w:val="right"/>
              <w:rPr>
                <w:rFonts w:cs="Arial"/>
              </w:rPr>
            </w:pPr>
            <w:r w:rsidRPr="009E0082">
              <w:rPr>
                <w:rFonts w:cs="Arial"/>
                <w:color w:val="000000"/>
              </w:rPr>
              <w:t>(724)</w:t>
            </w:r>
          </w:p>
        </w:tc>
      </w:tr>
      <w:tr w:rsidR="00103C35" w:rsidRPr="009E0082" w14:paraId="2E806E62"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4EE337FD" w14:textId="77777777" w:rsidR="00103C35" w:rsidRPr="009E0082" w:rsidRDefault="00103C35" w:rsidP="00103C35">
            <w:pPr>
              <w:spacing w:after="0"/>
              <w:rPr>
                <w:rFonts w:cs="Arial"/>
                <w:color w:val="000000"/>
              </w:rPr>
            </w:pPr>
            <w:r w:rsidRPr="009E0082">
              <w:rPr>
                <w:rFonts w:cs="Arial"/>
                <w:color w:val="000000"/>
              </w:rPr>
              <w:t>Estimated Depreciation on technology spend for use in LG House</w:t>
            </w:r>
          </w:p>
        </w:tc>
        <w:tc>
          <w:tcPr>
            <w:tcW w:w="1012" w:type="dxa"/>
            <w:tcBorders>
              <w:top w:val="nil"/>
              <w:left w:val="nil"/>
              <w:bottom w:val="single" w:sz="4" w:space="0" w:color="auto"/>
              <w:right w:val="single" w:sz="4" w:space="0" w:color="auto"/>
            </w:tcBorders>
            <w:shd w:val="clear" w:color="auto" w:fill="auto"/>
            <w:noWrap/>
            <w:vAlign w:val="center"/>
            <w:hideMark/>
          </w:tcPr>
          <w:p w14:paraId="7DE7CDF5" w14:textId="77777777" w:rsidR="00103C35" w:rsidRPr="009E0082" w:rsidRDefault="00103C35" w:rsidP="00103C35">
            <w:pPr>
              <w:spacing w:after="0"/>
              <w:jc w:val="right"/>
              <w:rPr>
                <w:rFonts w:cs="Arial"/>
              </w:rPr>
            </w:pPr>
            <w:r w:rsidRPr="009E0082">
              <w:rPr>
                <w:rFonts w:cs="Arial"/>
              </w:rPr>
              <w:t>50</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40D5232B" w14:textId="77777777" w:rsidR="00103C35" w:rsidRPr="009E0082" w:rsidRDefault="00103C35" w:rsidP="00103C35">
            <w:pPr>
              <w:spacing w:after="0"/>
              <w:jc w:val="right"/>
              <w:rPr>
                <w:rFonts w:cs="Arial"/>
              </w:rPr>
            </w:pPr>
            <w:r w:rsidRPr="009E0082">
              <w:rPr>
                <w:rFonts w:cs="Arial"/>
              </w:rPr>
              <w:t>50</w:t>
            </w:r>
          </w:p>
        </w:tc>
        <w:tc>
          <w:tcPr>
            <w:tcW w:w="1012" w:type="dxa"/>
            <w:tcBorders>
              <w:top w:val="nil"/>
              <w:left w:val="nil"/>
              <w:bottom w:val="single" w:sz="4" w:space="0" w:color="auto"/>
              <w:right w:val="single" w:sz="4" w:space="0" w:color="auto"/>
            </w:tcBorders>
            <w:shd w:val="clear" w:color="auto" w:fill="auto"/>
            <w:noWrap/>
            <w:vAlign w:val="center"/>
            <w:hideMark/>
          </w:tcPr>
          <w:p w14:paraId="4BB30981" w14:textId="77777777" w:rsidR="00103C35" w:rsidRPr="009E0082" w:rsidRDefault="00103C35" w:rsidP="00103C35">
            <w:pPr>
              <w:spacing w:after="0"/>
              <w:jc w:val="right"/>
              <w:rPr>
                <w:rFonts w:cs="Arial"/>
              </w:rPr>
            </w:pPr>
            <w:r w:rsidRPr="009E0082">
              <w:rPr>
                <w:rFonts w:cs="Arial"/>
              </w:rPr>
              <w:t>50</w:t>
            </w:r>
          </w:p>
        </w:tc>
      </w:tr>
      <w:tr w:rsidR="00103C35" w:rsidRPr="009E0082" w14:paraId="033D943D"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10177B3F" w14:textId="77777777" w:rsidR="00103C35" w:rsidRPr="009E0082" w:rsidRDefault="00103C35" w:rsidP="00103C35">
            <w:pPr>
              <w:spacing w:after="0"/>
              <w:rPr>
                <w:rFonts w:cs="Arial"/>
                <w:color w:val="000000"/>
              </w:rPr>
            </w:pPr>
            <w:r w:rsidRPr="009E0082">
              <w:rPr>
                <w:rFonts w:cs="Arial"/>
                <w:color w:val="000000"/>
              </w:rPr>
              <w:t>Additional External Mortgage Interest Costs</w:t>
            </w:r>
          </w:p>
        </w:tc>
        <w:tc>
          <w:tcPr>
            <w:tcW w:w="1012" w:type="dxa"/>
            <w:tcBorders>
              <w:top w:val="nil"/>
              <w:left w:val="nil"/>
              <w:bottom w:val="single" w:sz="4" w:space="0" w:color="auto"/>
              <w:right w:val="single" w:sz="4" w:space="0" w:color="auto"/>
            </w:tcBorders>
            <w:shd w:val="clear" w:color="auto" w:fill="auto"/>
            <w:noWrap/>
            <w:vAlign w:val="center"/>
            <w:hideMark/>
          </w:tcPr>
          <w:p w14:paraId="6FDFEAF6" w14:textId="77777777" w:rsidR="00103C35" w:rsidRPr="009E0082" w:rsidRDefault="00103C35" w:rsidP="00103C35">
            <w:pPr>
              <w:spacing w:after="0"/>
              <w:jc w:val="right"/>
              <w:rPr>
                <w:rFonts w:cs="Arial"/>
              </w:rPr>
            </w:pPr>
            <w:r w:rsidRPr="009E0082">
              <w:rPr>
                <w:rFonts w:cs="Arial"/>
              </w:rPr>
              <w:t>494</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7C45DFB7" w14:textId="77777777" w:rsidR="00103C35" w:rsidRPr="009E0082" w:rsidRDefault="00103C35" w:rsidP="00103C35">
            <w:pPr>
              <w:spacing w:after="0"/>
              <w:jc w:val="right"/>
              <w:rPr>
                <w:rFonts w:cs="Arial"/>
              </w:rPr>
            </w:pPr>
            <w:r w:rsidRPr="009E0082">
              <w:rPr>
                <w:rFonts w:cs="Arial"/>
              </w:rPr>
              <w:t>564</w:t>
            </w:r>
          </w:p>
        </w:tc>
        <w:tc>
          <w:tcPr>
            <w:tcW w:w="1012" w:type="dxa"/>
            <w:tcBorders>
              <w:top w:val="nil"/>
              <w:left w:val="nil"/>
              <w:bottom w:val="single" w:sz="4" w:space="0" w:color="auto"/>
              <w:right w:val="single" w:sz="4" w:space="0" w:color="auto"/>
            </w:tcBorders>
            <w:shd w:val="clear" w:color="auto" w:fill="auto"/>
            <w:noWrap/>
            <w:vAlign w:val="center"/>
            <w:hideMark/>
          </w:tcPr>
          <w:p w14:paraId="1FA47588" w14:textId="77777777" w:rsidR="00103C35" w:rsidRPr="009E0082" w:rsidRDefault="00103C35" w:rsidP="00103C35">
            <w:pPr>
              <w:spacing w:after="0"/>
              <w:jc w:val="right"/>
              <w:rPr>
                <w:rFonts w:cs="Arial"/>
              </w:rPr>
            </w:pPr>
            <w:r w:rsidRPr="009E0082">
              <w:rPr>
                <w:rFonts w:cs="Arial"/>
              </w:rPr>
              <w:t>566</w:t>
            </w:r>
          </w:p>
        </w:tc>
      </w:tr>
      <w:tr w:rsidR="00103C35" w:rsidRPr="009E0082" w14:paraId="5EB4EBB9"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6C6C939E" w14:textId="77777777" w:rsidR="00103C35" w:rsidRPr="009E0082" w:rsidRDefault="00103C35" w:rsidP="00103C35">
            <w:pPr>
              <w:spacing w:after="0"/>
              <w:rPr>
                <w:rFonts w:cs="Arial"/>
                <w:color w:val="000000"/>
              </w:rPr>
            </w:pPr>
            <w:r w:rsidRPr="009E0082">
              <w:rPr>
                <w:rFonts w:cs="Arial"/>
                <w:color w:val="000000"/>
              </w:rPr>
              <w:t>Intercompany Tenants rent</w:t>
            </w:r>
          </w:p>
        </w:tc>
        <w:tc>
          <w:tcPr>
            <w:tcW w:w="1012" w:type="dxa"/>
            <w:tcBorders>
              <w:top w:val="nil"/>
              <w:left w:val="nil"/>
              <w:bottom w:val="single" w:sz="4" w:space="0" w:color="auto"/>
              <w:right w:val="single" w:sz="4" w:space="0" w:color="auto"/>
            </w:tcBorders>
            <w:shd w:val="clear" w:color="auto" w:fill="auto"/>
            <w:noWrap/>
            <w:vAlign w:val="center"/>
            <w:hideMark/>
          </w:tcPr>
          <w:p w14:paraId="1C67FBBB" w14:textId="77777777" w:rsidR="00103C35" w:rsidRPr="009E0082" w:rsidRDefault="00103C35" w:rsidP="00103C35">
            <w:pPr>
              <w:spacing w:after="0"/>
              <w:jc w:val="right"/>
              <w:rPr>
                <w:rFonts w:cs="Arial"/>
              </w:rPr>
            </w:pPr>
            <w:r w:rsidRPr="009E0082">
              <w:rPr>
                <w:rFonts w:cs="Arial"/>
              </w:rPr>
              <w:t>288</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5C30EB8E" w14:textId="77777777" w:rsidR="00103C35" w:rsidRPr="009E0082" w:rsidRDefault="00103C35" w:rsidP="00103C35">
            <w:pPr>
              <w:spacing w:after="0"/>
              <w:jc w:val="right"/>
              <w:rPr>
                <w:rFonts w:cs="Arial"/>
              </w:rPr>
            </w:pPr>
            <w:r w:rsidRPr="009E0082">
              <w:rPr>
                <w:rFonts w:cs="Arial"/>
              </w:rPr>
              <w:t>480</w:t>
            </w:r>
          </w:p>
        </w:tc>
        <w:tc>
          <w:tcPr>
            <w:tcW w:w="1012" w:type="dxa"/>
            <w:tcBorders>
              <w:top w:val="nil"/>
              <w:left w:val="nil"/>
              <w:bottom w:val="single" w:sz="4" w:space="0" w:color="auto"/>
              <w:right w:val="single" w:sz="4" w:space="0" w:color="auto"/>
            </w:tcBorders>
            <w:shd w:val="clear" w:color="auto" w:fill="auto"/>
            <w:noWrap/>
            <w:vAlign w:val="center"/>
            <w:hideMark/>
          </w:tcPr>
          <w:p w14:paraId="5BC99062" w14:textId="77777777" w:rsidR="00103C35" w:rsidRPr="009E0082" w:rsidRDefault="00103C35" w:rsidP="00103C35">
            <w:pPr>
              <w:spacing w:after="0"/>
              <w:jc w:val="right"/>
              <w:rPr>
                <w:rFonts w:cs="Arial"/>
              </w:rPr>
            </w:pPr>
            <w:r w:rsidRPr="009E0082">
              <w:rPr>
                <w:rFonts w:cs="Arial"/>
              </w:rPr>
              <w:t>480</w:t>
            </w:r>
          </w:p>
        </w:tc>
      </w:tr>
      <w:tr w:rsidR="00103C35" w:rsidRPr="009E0082" w14:paraId="57BE03CA"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5DC3F62A" w14:textId="77777777" w:rsidR="00103C35" w:rsidRPr="009E0082" w:rsidRDefault="00103C35" w:rsidP="00103C35">
            <w:pPr>
              <w:spacing w:after="0"/>
              <w:rPr>
                <w:rFonts w:cs="Arial"/>
                <w:color w:val="000000"/>
              </w:rPr>
            </w:pPr>
            <w:r w:rsidRPr="009E0082">
              <w:rPr>
                <w:rFonts w:cs="Arial"/>
                <w:color w:val="000000"/>
              </w:rPr>
              <w:t>Other budget adjustments</w:t>
            </w:r>
          </w:p>
        </w:tc>
        <w:tc>
          <w:tcPr>
            <w:tcW w:w="1012" w:type="dxa"/>
            <w:tcBorders>
              <w:top w:val="nil"/>
              <w:left w:val="nil"/>
              <w:bottom w:val="single" w:sz="4" w:space="0" w:color="auto"/>
              <w:right w:val="single" w:sz="4" w:space="0" w:color="auto"/>
            </w:tcBorders>
            <w:shd w:val="clear" w:color="auto" w:fill="auto"/>
            <w:noWrap/>
            <w:vAlign w:val="center"/>
            <w:hideMark/>
          </w:tcPr>
          <w:p w14:paraId="41C7A0EB" w14:textId="77777777" w:rsidR="00103C35" w:rsidRPr="009E0082" w:rsidRDefault="00103C35" w:rsidP="00103C35">
            <w:pPr>
              <w:spacing w:after="0"/>
              <w:jc w:val="right"/>
              <w:rPr>
                <w:rFonts w:cs="Arial"/>
              </w:rPr>
            </w:pPr>
            <w:r>
              <w:rPr>
                <w:rFonts w:cs="Arial"/>
                <w:color w:val="000000"/>
              </w:rPr>
              <w:t>(239)</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22753449" w14:textId="77777777" w:rsidR="00103C35" w:rsidRPr="009E0082" w:rsidRDefault="00103C35" w:rsidP="00103C35">
            <w:pPr>
              <w:spacing w:after="0"/>
              <w:jc w:val="right"/>
              <w:rPr>
                <w:rFonts w:cs="Arial"/>
              </w:rPr>
            </w:pPr>
            <w:r>
              <w:rPr>
                <w:rFonts w:cs="Arial"/>
                <w:color w:val="000000"/>
              </w:rPr>
              <w:t>(230)</w:t>
            </w:r>
          </w:p>
        </w:tc>
        <w:tc>
          <w:tcPr>
            <w:tcW w:w="1012" w:type="dxa"/>
            <w:tcBorders>
              <w:top w:val="nil"/>
              <w:left w:val="nil"/>
              <w:bottom w:val="single" w:sz="4" w:space="0" w:color="auto"/>
              <w:right w:val="single" w:sz="4" w:space="0" w:color="auto"/>
            </w:tcBorders>
            <w:shd w:val="clear" w:color="auto" w:fill="auto"/>
            <w:noWrap/>
            <w:vAlign w:val="center"/>
            <w:hideMark/>
          </w:tcPr>
          <w:p w14:paraId="056390FE" w14:textId="77777777" w:rsidR="00103C35" w:rsidRPr="009E0082" w:rsidRDefault="00103C35" w:rsidP="00103C35">
            <w:pPr>
              <w:spacing w:after="0"/>
              <w:jc w:val="right"/>
              <w:rPr>
                <w:rFonts w:cs="Arial"/>
              </w:rPr>
            </w:pPr>
            <w:r>
              <w:rPr>
                <w:rFonts w:cs="Arial"/>
                <w:color w:val="000000"/>
              </w:rPr>
              <w:t>(110)</w:t>
            </w:r>
          </w:p>
        </w:tc>
      </w:tr>
      <w:tr w:rsidR="00103C35" w:rsidRPr="009E0082" w14:paraId="1E3F92AF" w14:textId="77777777" w:rsidTr="00225520">
        <w:trPr>
          <w:trHeight w:val="30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2FA439F8" w14:textId="77777777" w:rsidR="00103C35" w:rsidRPr="009E0082" w:rsidRDefault="00103C35" w:rsidP="00103C35">
            <w:pPr>
              <w:spacing w:after="0"/>
              <w:rPr>
                <w:rFonts w:cs="Arial"/>
                <w:b/>
                <w:bCs/>
                <w:color w:val="000000"/>
              </w:rPr>
            </w:pPr>
            <w:r w:rsidRPr="009E0082">
              <w:rPr>
                <w:rFonts w:cs="Arial"/>
                <w:b/>
                <w:bCs/>
                <w:color w:val="000000"/>
              </w:rPr>
              <w:t>Net budget pressure or (opportunity)</w:t>
            </w:r>
          </w:p>
        </w:tc>
        <w:tc>
          <w:tcPr>
            <w:tcW w:w="1012" w:type="dxa"/>
            <w:tcBorders>
              <w:top w:val="nil"/>
              <w:left w:val="nil"/>
              <w:bottom w:val="single" w:sz="4" w:space="0" w:color="auto"/>
              <w:right w:val="single" w:sz="4" w:space="0" w:color="auto"/>
            </w:tcBorders>
            <w:shd w:val="clear" w:color="auto" w:fill="auto"/>
            <w:noWrap/>
            <w:vAlign w:val="center"/>
            <w:hideMark/>
          </w:tcPr>
          <w:p w14:paraId="4A50B3EA" w14:textId="77777777" w:rsidR="00103C35" w:rsidRPr="009E0082" w:rsidRDefault="00103C35" w:rsidP="00103C35">
            <w:pPr>
              <w:spacing w:after="0"/>
              <w:jc w:val="right"/>
              <w:rPr>
                <w:rFonts w:cs="Arial"/>
                <w:b/>
                <w:bCs/>
              </w:rPr>
            </w:pPr>
            <w:r>
              <w:rPr>
                <w:rFonts w:cs="Arial"/>
                <w:b/>
                <w:bCs/>
              </w:rPr>
              <w:t>1,062</w:t>
            </w:r>
          </w:p>
        </w:tc>
        <w:tc>
          <w:tcPr>
            <w:tcW w:w="1012" w:type="dxa"/>
            <w:tcBorders>
              <w:top w:val="nil"/>
              <w:left w:val="nil"/>
              <w:bottom w:val="single" w:sz="4" w:space="0" w:color="auto"/>
              <w:right w:val="single" w:sz="4" w:space="0" w:color="auto"/>
            </w:tcBorders>
            <w:shd w:val="clear" w:color="auto" w:fill="FFE599" w:themeFill="accent4" w:themeFillTint="66"/>
            <w:noWrap/>
            <w:vAlign w:val="center"/>
            <w:hideMark/>
          </w:tcPr>
          <w:p w14:paraId="1512E32A" w14:textId="77777777" w:rsidR="00103C35" w:rsidRPr="009E0082" w:rsidRDefault="00103C35" w:rsidP="00103C35">
            <w:pPr>
              <w:spacing w:after="0"/>
              <w:jc w:val="right"/>
              <w:rPr>
                <w:rFonts w:cs="Arial"/>
                <w:b/>
                <w:bCs/>
              </w:rPr>
            </w:pPr>
            <w:r>
              <w:rPr>
                <w:rFonts w:cs="Arial"/>
                <w:b/>
                <w:bCs/>
              </w:rPr>
              <w:t>1,572</w:t>
            </w:r>
          </w:p>
        </w:tc>
        <w:tc>
          <w:tcPr>
            <w:tcW w:w="1012" w:type="dxa"/>
            <w:tcBorders>
              <w:top w:val="nil"/>
              <w:left w:val="nil"/>
              <w:bottom w:val="single" w:sz="4" w:space="0" w:color="auto"/>
              <w:right w:val="single" w:sz="4" w:space="0" w:color="auto"/>
            </w:tcBorders>
            <w:shd w:val="clear" w:color="auto" w:fill="auto"/>
            <w:noWrap/>
            <w:vAlign w:val="center"/>
            <w:hideMark/>
          </w:tcPr>
          <w:p w14:paraId="10A17CDB" w14:textId="77777777" w:rsidR="00103C35" w:rsidRPr="009E0082" w:rsidRDefault="00103C35" w:rsidP="00103C35">
            <w:pPr>
              <w:spacing w:after="0"/>
              <w:jc w:val="right"/>
              <w:rPr>
                <w:rFonts w:cs="Arial"/>
                <w:b/>
                <w:bCs/>
              </w:rPr>
            </w:pPr>
            <w:r>
              <w:rPr>
                <w:rFonts w:cs="Arial"/>
                <w:b/>
                <w:bCs/>
              </w:rPr>
              <w:t>1,776</w:t>
            </w:r>
          </w:p>
        </w:tc>
      </w:tr>
    </w:tbl>
    <w:p w14:paraId="07EB151A" w14:textId="77777777" w:rsidR="00103C35" w:rsidRDefault="00103C35"/>
    <w:p w14:paraId="60952B88" w14:textId="77777777" w:rsidR="00103C35" w:rsidRDefault="00103C35" w:rsidP="00103C35">
      <w:pPr>
        <w:pStyle w:val="MainText"/>
        <w:spacing w:after="0" w:line="240" w:lineRule="auto"/>
        <w:rPr>
          <w:b/>
        </w:rPr>
      </w:pPr>
      <w:r w:rsidRPr="000B4659">
        <w:rPr>
          <w:b/>
        </w:rPr>
        <w:t>Risks and Opportunities</w:t>
      </w:r>
    </w:p>
    <w:p w14:paraId="55B3FD3C" w14:textId="77777777" w:rsidR="00103C35" w:rsidRPr="000B4659" w:rsidRDefault="00103C35" w:rsidP="00103C35">
      <w:pPr>
        <w:pStyle w:val="MainText"/>
        <w:spacing w:after="0" w:line="240" w:lineRule="auto"/>
        <w:rPr>
          <w:b/>
        </w:rPr>
      </w:pPr>
    </w:p>
    <w:p w14:paraId="7506D829" w14:textId="77777777" w:rsidR="00103C35" w:rsidRDefault="00103C35" w:rsidP="00103C35">
      <w:pPr>
        <w:spacing w:after="120" w:line="240" w:lineRule="auto"/>
        <w:ind w:left="360" w:hanging="360"/>
      </w:pPr>
      <w:r>
        <w:t>The main risks for LGA are:</w:t>
      </w:r>
    </w:p>
    <w:p w14:paraId="229F9648" w14:textId="77777777" w:rsidR="00103C35" w:rsidRDefault="00103C35" w:rsidP="00103C35">
      <w:pPr>
        <w:pStyle w:val="ListParagraph"/>
        <w:numPr>
          <w:ilvl w:val="1"/>
          <w:numId w:val="12"/>
        </w:numPr>
        <w:spacing w:after="120" w:line="240" w:lineRule="auto"/>
        <w:contextualSpacing w:val="0"/>
      </w:pPr>
      <w:r>
        <w:t>Possible further reductions in grant-funding;</w:t>
      </w:r>
    </w:p>
    <w:p w14:paraId="5F550585" w14:textId="77777777" w:rsidR="00103C35" w:rsidRPr="000B205B" w:rsidRDefault="00103C35" w:rsidP="00103C35">
      <w:pPr>
        <w:pStyle w:val="ListParagraph"/>
        <w:numPr>
          <w:ilvl w:val="1"/>
          <w:numId w:val="12"/>
        </w:numPr>
        <w:spacing w:after="120" w:line="240" w:lineRule="auto"/>
        <w:contextualSpacing w:val="0"/>
      </w:pPr>
      <w:r w:rsidRPr="000B205B">
        <w:t xml:space="preserve">LGA membership – </w:t>
      </w:r>
      <w:r>
        <w:t>9</w:t>
      </w:r>
      <w:r w:rsidRPr="000B205B">
        <w:t xml:space="preserve"> councils</w:t>
      </w:r>
      <w:r>
        <w:t xml:space="preserve"> </w:t>
      </w:r>
      <w:r w:rsidRPr="000B205B">
        <w:t>are currently on notice to withdraw from membership in 201</w:t>
      </w:r>
      <w:r>
        <w:t>8/19</w:t>
      </w:r>
      <w:r w:rsidRPr="000B205B">
        <w:t>. The risk is assessed as being up to a £</w:t>
      </w:r>
      <w:r>
        <w:t>506k reduction in income; and</w:t>
      </w:r>
    </w:p>
    <w:p w14:paraId="5BC1B673" w14:textId="77777777" w:rsidR="00103C35" w:rsidRDefault="00103C35" w:rsidP="00103C35">
      <w:pPr>
        <w:pStyle w:val="ListParagraph"/>
        <w:numPr>
          <w:ilvl w:val="1"/>
          <w:numId w:val="12"/>
        </w:numPr>
        <w:spacing w:after="120" w:line="240" w:lineRule="auto"/>
        <w:contextualSpacing w:val="0"/>
      </w:pPr>
      <w:r>
        <w:t>A reduction in current 3rd party clients for back office services could lose up to £350k in contribution to LGA fixed overhead costs.</w:t>
      </w:r>
    </w:p>
    <w:p w14:paraId="318152A3" w14:textId="77777777" w:rsidR="00103C35" w:rsidRDefault="00103C35"/>
    <w:p w14:paraId="494C1087" w14:textId="77777777" w:rsidR="00103C35" w:rsidRDefault="00103C35"/>
    <w:p w14:paraId="0622F8AB" w14:textId="77777777" w:rsidR="00103C35" w:rsidRDefault="00103C35"/>
    <w:p w14:paraId="24C6794A" w14:textId="77777777" w:rsidR="00B42A88" w:rsidRDefault="00B42A88" w:rsidP="00B42A88">
      <w:pPr>
        <w:ind w:left="0" w:firstLine="0"/>
        <w:rPr>
          <w:b/>
        </w:rPr>
      </w:pPr>
    </w:p>
    <w:p w14:paraId="5CA4F98B" w14:textId="77777777" w:rsidR="00103C35" w:rsidRPr="00103C35" w:rsidRDefault="00103C35" w:rsidP="00B42A88">
      <w:pPr>
        <w:ind w:left="0" w:firstLine="0"/>
        <w:rPr>
          <w:b/>
        </w:rPr>
      </w:pPr>
      <w:r w:rsidRPr="00103C35">
        <w:rPr>
          <w:b/>
        </w:rPr>
        <w:lastRenderedPageBreak/>
        <w:t xml:space="preserve">APPENDIX </w:t>
      </w:r>
      <w:r>
        <w:rPr>
          <w:b/>
        </w:rPr>
        <w:t>C</w:t>
      </w:r>
      <w:r w:rsidRPr="00103C35">
        <w:rPr>
          <w:b/>
        </w:rPr>
        <w:t xml:space="preserve"> – </w:t>
      </w:r>
      <w:r>
        <w:rPr>
          <w:b/>
        </w:rPr>
        <w:t>IDe</w:t>
      </w:r>
      <w:r w:rsidRPr="00103C35">
        <w:rPr>
          <w:b/>
        </w:rPr>
        <w:t>A Pressures and Risks and Opportunities</w:t>
      </w:r>
    </w:p>
    <w:p w14:paraId="4006329F" w14:textId="77777777" w:rsidR="00103C35" w:rsidRPr="00465E91" w:rsidRDefault="00103C35" w:rsidP="00103C35">
      <w:pPr>
        <w:pStyle w:val="MainText"/>
        <w:spacing w:after="0" w:line="240" w:lineRule="auto"/>
        <w:rPr>
          <w:b/>
        </w:rPr>
      </w:pPr>
      <w:r w:rsidRPr="00465E91">
        <w:rPr>
          <w:b/>
        </w:rPr>
        <w:t>DCLG Funding</w:t>
      </w:r>
    </w:p>
    <w:p w14:paraId="48D0D188" w14:textId="77777777" w:rsidR="00103C35" w:rsidRPr="00465E91" w:rsidRDefault="00103C35" w:rsidP="00103C35">
      <w:pPr>
        <w:pStyle w:val="MainText"/>
        <w:spacing w:after="0" w:line="240" w:lineRule="auto"/>
        <w:rPr>
          <w:b/>
        </w:rPr>
      </w:pPr>
    </w:p>
    <w:p w14:paraId="0E032B19" w14:textId="77777777" w:rsidR="00103C35" w:rsidRPr="00465E91" w:rsidRDefault="00103C35" w:rsidP="00B42A88">
      <w:pPr>
        <w:spacing w:after="120" w:line="240" w:lineRule="auto"/>
        <w:ind w:left="0" w:firstLine="0"/>
      </w:pPr>
      <w:bookmarkStart w:id="1" w:name="_Ref440016977"/>
      <w:r w:rsidRPr="00465E91">
        <w:t xml:space="preserve">The table below </w:t>
      </w:r>
      <w:r>
        <w:t xml:space="preserve">sets out the potential </w:t>
      </w:r>
      <w:r w:rsidRPr="00465E91">
        <w:t xml:space="preserve">reduction in Grant from DCLG </w:t>
      </w:r>
      <w:r>
        <w:t>over the lifetime of the strategy.</w:t>
      </w:r>
      <w:bookmarkEnd w:id="1"/>
      <w:r>
        <w:t xml:space="preserve"> The figures were included in the budget pressures and opportunities for the IDeA:</w:t>
      </w:r>
    </w:p>
    <w:tbl>
      <w:tblPr>
        <w:tblW w:w="6660" w:type="dxa"/>
        <w:tblInd w:w="607" w:type="dxa"/>
        <w:tblLook w:val="04A0" w:firstRow="1" w:lastRow="0" w:firstColumn="1" w:lastColumn="0" w:noHBand="0" w:noVBand="1"/>
      </w:tblPr>
      <w:tblGrid>
        <w:gridCol w:w="1960"/>
        <w:gridCol w:w="940"/>
        <w:gridCol w:w="940"/>
        <w:gridCol w:w="940"/>
        <w:gridCol w:w="940"/>
        <w:gridCol w:w="940"/>
      </w:tblGrid>
      <w:tr w:rsidR="00103C35" w:rsidRPr="00465E91" w14:paraId="547196A7" w14:textId="77777777" w:rsidTr="00103C35">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905A5" w14:textId="77777777" w:rsidR="00103C35" w:rsidRPr="00465E91" w:rsidRDefault="00103C35" w:rsidP="00103C35">
            <w:pPr>
              <w:spacing w:after="0"/>
              <w:rPr>
                <w:rFonts w:cs="Arial"/>
                <w:b/>
                <w:bCs/>
                <w:color w:val="000000"/>
              </w:rPr>
            </w:pPr>
            <w:r>
              <w:rPr>
                <w:rFonts w:cs="Arial"/>
                <w:b/>
                <w:bCs/>
                <w:color w:val="000000"/>
              </w:rPr>
              <w:t>DCLG Grant assumption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B7A612F" w14:textId="77777777" w:rsidR="00103C35" w:rsidRPr="00465E91" w:rsidRDefault="00103C35" w:rsidP="00103C35">
            <w:pPr>
              <w:spacing w:after="0"/>
              <w:rPr>
                <w:rFonts w:cs="Arial"/>
                <w:b/>
                <w:bCs/>
                <w:color w:val="000000"/>
              </w:rPr>
            </w:pPr>
            <w:r w:rsidRPr="00465E91">
              <w:rPr>
                <w:rFonts w:cs="Arial"/>
                <w:b/>
                <w:bCs/>
                <w:color w:val="000000"/>
              </w:rPr>
              <w:t>15/16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0EF2489" w14:textId="77777777" w:rsidR="00103C35" w:rsidRPr="00465E91" w:rsidRDefault="00103C35" w:rsidP="00103C35">
            <w:pPr>
              <w:spacing w:after="0"/>
              <w:rPr>
                <w:rFonts w:cs="Arial"/>
                <w:b/>
                <w:bCs/>
                <w:color w:val="000000"/>
              </w:rPr>
            </w:pPr>
            <w:r w:rsidRPr="00465E91">
              <w:rPr>
                <w:rFonts w:cs="Arial"/>
                <w:b/>
                <w:bCs/>
                <w:color w:val="000000"/>
              </w:rPr>
              <w:t>16/17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1597B27" w14:textId="77777777" w:rsidR="00103C35" w:rsidRPr="00465E91" w:rsidRDefault="00103C35" w:rsidP="00103C35">
            <w:pPr>
              <w:spacing w:after="0"/>
              <w:rPr>
                <w:rFonts w:cs="Arial"/>
                <w:b/>
                <w:bCs/>
                <w:color w:val="000000"/>
              </w:rPr>
            </w:pPr>
            <w:r w:rsidRPr="00465E91">
              <w:rPr>
                <w:rFonts w:cs="Arial"/>
                <w:b/>
                <w:bCs/>
                <w:color w:val="000000"/>
              </w:rPr>
              <w:t>17/18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0D669C6" w14:textId="77777777" w:rsidR="00103C35" w:rsidRPr="00465E91" w:rsidRDefault="00103C35" w:rsidP="00103C35">
            <w:pPr>
              <w:spacing w:after="0"/>
              <w:rPr>
                <w:rFonts w:cs="Arial"/>
                <w:b/>
                <w:bCs/>
                <w:color w:val="000000"/>
              </w:rPr>
            </w:pPr>
            <w:r w:rsidRPr="00465E91">
              <w:rPr>
                <w:rFonts w:cs="Arial"/>
                <w:b/>
                <w:bCs/>
                <w:color w:val="000000"/>
              </w:rPr>
              <w:t>18/19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CA4AC44" w14:textId="77777777" w:rsidR="00103C35" w:rsidRPr="00465E91" w:rsidRDefault="00103C35" w:rsidP="00103C35">
            <w:pPr>
              <w:spacing w:after="0"/>
              <w:rPr>
                <w:rFonts w:cs="Arial"/>
                <w:b/>
                <w:bCs/>
                <w:color w:val="000000"/>
              </w:rPr>
            </w:pPr>
            <w:r w:rsidRPr="00465E91">
              <w:rPr>
                <w:rFonts w:cs="Arial"/>
                <w:b/>
                <w:bCs/>
                <w:color w:val="000000"/>
              </w:rPr>
              <w:t>19/20</w:t>
            </w:r>
          </w:p>
        </w:tc>
      </w:tr>
      <w:tr w:rsidR="00103C35" w:rsidRPr="00465E91" w14:paraId="589BB675" w14:textId="77777777" w:rsidTr="00103C35">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24AD5884" w14:textId="77777777" w:rsidR="00103C35" w:rsidRPr="00465E91" w:rsidRDefault="00103C35" w:rsidP="00103C35">
            <w:pPr>
              <w:spacing w:after="0"/>
              <w:rPr>
                <w:rFonts w:cs="Arial"/>
                <w:b/>
                <w:bCs/>
                <w:color w:val="000000"/>
              </w:rPr>
            </w:pPr>
          </w:p>
        </w:tc>
        <w:tc>
          <w:tcPr>
            <w:tcW w:w="940" w:type="dxa"/>
            <w:tcBorders>
              <w:top w:val="nil"/>
              <w:left w:val="nil"/>
              <w:bottom w:val="single" w:sz="4" w:space="0" w:color="auto"/>
              <w:right w:val="single" w:sz="4" w:space="0" w:color="auto"/>
            </w:tcBorders>
            <w:shd w:val="clear" w:color="auto" w:fill="auto"/>
            <w:vAlign w:val="center"/>
            <w:hideMark/>
          </w:tcPr>
          <w:p w14:paraId="29297D3F" w14:textId="77777777" w:rsidR="00103C35" w:rsidRPr="00465E91" w:rsidRDefault="00103C35" w:rsidP="00103C35">
            <w:pPr>
              <w:spacing w:after="0"/>
              <w:rPr>
                <w:rFonts w:cs="Arial"/>
                <w:b/>
                <w:bCs/>
                <w:color w:val="000000"/>
              </w:rPr>
            </w:pPr>
            <w:r w:rsidRPr="00465E91">
              <w:rPr>
                <w:rFonts w:cs="Arial"/>
                <w:b/>
                <w:bCs/>
                <w:color w:val="000000"/>
              </w:rPr>
              <w:t xml:space="preserve">  £m</w:t>
            </w:r>
          </w:p>
        </w:tc>
        <w:tc>
          <w:tcPr>
            <w:tcW w:w="940" w:type="dxa"/>
            <w:tcBorders>
              <w:top w:val="nil"/>
              <w:left w:val="nil"/>
              <w:bottom w:val="single" w:sz="4" w:space="0" w:color="auto"/>
              <w:right w:val="single" w:sz="4" w:space="0" w:color="auto"/>
            </w:tcBorders>
            <w:shd w:val="clear" w:color="auto" w:fill="auto"/>
            <w:vAlign w:val="center"/>
            <w:hideMark/>
          </w:tcPr>
          <w:p w14:paraId="37B6A3B1" w14:textId="77777777" w:rsidR="00103C35" w:rsidRPr="00465E91" w:rsidRDefault="00103C35" w:rsidP="00103C35">
            <w:pPr>
              <w:spacing w:after="0"/>
              <w:rPr>
                <w:rFonts w:cs="Arial"/>
                <w:b/>
                <w:bCs/>
                <w:color w:val="000000"/>
              </w:rPr>
            </w:pPr>
            <w:r w:rsidRPr="00465E91">
              <w:rPr>
                <w:rFonts w:cs="Arial"/>
                <w:b/>
                <w:bCs/>
                <w:color w:val="000000"/>
              </w:rPr>
              <w:t xml:space="preserve">  £m</w:t>
            </w:r>
          </w:p>
        </w:tc>
        <w:tc>
          <w:tcPr>
            <w:tcW w:w="940" w:type="dxa"/>
            <w:tcBorders>
              <w:top w:val="nil"/>
              <w:left w:val="nil"/>
              <w:bottom w:val="single" w:sz="4" w:space="0" w:color="auto"/>
              <w:right w:val="single" w:sz="4" w:space="0" w:color="auto"/>
            </w:tcBorders>
            <w:shd w:val="clear" w:color="auto" w:fill="auto"/>
            <w:vAlign w:val="center"/>
            <w:hideMark/>
          </w:tcPr>
          <w:p w14:paraId="74B293EA" w14:textId="77777777" w:rsidR="00103C35" w:rsidRPr="00465E91" w:rsidRDefault="00103C35" w:rsidP="00103C35">
            <w:pPr>
              <w:spacing w:after="0"/>
              <w:rPr>
                <w:rFonts w:cs="Arial"/>
                <w:b/>
                <w:bCs/>
                <w:color w:val="000000"/>
              </w:rPr>
            </w:pPr>
            <w:r w:rsidRPr="00465E91">
              <w:rPr>
                <w:rFonts w:cs="Arial"/>
                <w:b/>
                <w:bCs/>
                <w:color w:val="000000"/>
              </w:rPr>
              <w:t xml:space="preserve"> £m</w:t>
            </w:r>
          </w:p>
        </w:tc>
        <w:tc>
          <w:tcPr>
            <w:tcW w:w="940" w:type="dxa"/>
            <w:tcBorders>
              <w:top w:val="nil"/>
              <w:left w:val="nil"/>
              <w:bottom w:val="single" w:sz="4" w:space="0" w:color="auto"/>
              <w:right w:val="single" w:sz="4" w:space="0" w:color="auto"/>
            </w:tcBorders>
            <w:shd w:val="clear" w:color="auto" w:fill="auto"/>
            <w:vAlign w:val="center"/>
            <w:hideMark/>
          </w:tcPr>
          <w:p w14:paraId="01E17751" w14:textId="77777777" w:rsidR="00103C35" w:rsidRPr="00465E91" w:rsidRDefault="00103C35" w:rsidP="00103C35">
            <w:pPr>
              <w:spacing w:after="0"/>
              <w:rPr>
                <w:rFonts w:cs="Arial"/>
                <w:b/>
                <w:bCs/>
                <w:color w:val="000000"/>
              </w:rPr>
            </w:pPr>
            <w:r w:rsidRPr="00465E91">
              <w:rPr>
                <w:rFonts w:cs="Arial"/>
                <w:b/>
                <w:bCs/>
                <w:color w:val="000000"/>
              </w:rPr>
              <w:t xml:space="preserve">  £m</w:t>
            </w:r>
          </w:p>
        </w:tc>
        <w:tc>
          <w:tcPr>
            <w:tcW w:w="940" w:type="dxa"/>
            <w:tcBorders>
              <w:top w:val="nil"/>
              <w:left w:val="nil"/>
              <w:bottom w:val="single" w:sz="4" w:space="0" w:color="auto"/>
              <w:right w:val="single" w:sz="4" w:space="0" w:color="auto"/>
            </w:tcBorders>
            <w:shd w:val="clear" w:color="auto" w:fill="auto"/>
            <w:vAlign w:val="center"/>
            <w:hideMark/>
          </w:tcPr>
          <w:p w14:paraId="41AB02EB" w14:textId="77777777" w:rsidR="00103C35" w:rsidRPr="00465E91" w:rsidRDefault="00103C35" w:rsidP="00103C35">
            <w:pPr>
              <w:spacing w:after="0"/>
              <w:rPr>
                <w:rFonts w:cs="Arial"/>
                <w:b/>
                <w:bCs/>
                <w:color w:val="000000"/>
              </w:rPr>
            </w:pPr>
            <w:r w:rsidRPr="00465E91">
              <w:rPr>
                <w:rFonts w:cs="Arial"/>
                <w:b/>
                <w:bCs/>
                <w:color w:val="000000"/>
              </w:rPr>
              <w:t xml:space="preserve">  £m</w:t>
            </w:r>
          </w:p>
        </w:tc>
      </w:tr>
      <w:tr w:rsidR="00103C35" w:rsidRPr="00465E91" w14:paraId="43A04BE9" w14:textId="77777777" w:rsidTr="00225520">
        <w:trPr>
          <w:trHeight w:val="285"/>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8B3831D" w14:textId="77777777" w:rsidR="00103C35" w:rsidRPr="00465E91" w:rsidRDefault="00103C35" w:rsidP="00103C35">
            <w:pPr>
              <w:spacing w:after="0"/>
              <w:rPr>
                <w:rFonts w:cs="Arial"/>
                <w:color w:val="000000"/>
              </w:rPr>
            </w:pPr>
            <w:r w:rsidRPr="00465E91">
              <w:rPr>
                <w:rFonts w:cs="Arial"/>
                <w:color w:val="000000"/>
              </w:rPr>
              <w:t>Grant - £m</w:t>
            </w:r>
          </w:p>
        </w:tc>
        <w:tc>
          <w:tcPr>
            <w:tcW w:w="940" w:type="dxa"/>
            <w:tcBorders>
              <w:top w:val="nil"/>
              <w:left w:val="nil"/>
              <w:bottom w:val="single" w:sz="4" w:space="0" w:color="auto"/>
              <w:right w:val="single" w:sz="4" w:space="0" w:color="auto"/>
            </w:tcBorders>
            <w:shd w:val="clear" w:color="auto" w:fill="auto"/>
            <w:vAlign w:val="center"/>
            <w:hideMark/>
          </w:tcPr>
          <w:p w14:paraId="49B9DCDB" w14:textId="77777777" w:rsidR="00103C35" w:rsidRPr="00465E91" w:rsidRDefault="00103C35" w:rsidP="00103C35">
            <w:pPr>
              <w:spacing w:after="0"/>
              <w:jc w:val="right"/>
              <w:rPr>
                <w:rFonts w:cs="Arial"/>
                <w:color w:val="000000"/>
              </w:rPr>
            </w:pPr>
            <w:r w:rsidRPr="00465E91">
              <w:rPr>
                <w:rFonts w:cs="Arial"/>
                <w:color w:val="000000"/>
              </w:rPr>
              <w:t>23.4</w:t>
            </w:r>
          </w:p>
        </w:tc>
        <w:tc>
          <w:tcPr>
            <w:tcW w:w="940" w:type="dxa"/>
            <w:tcBorders>
              <w:top w:val="nil"/>
              <w:left w:val="nil"/>
              <w:bottom w:val="single" w:sz="4" w:space="0" w:color="auto"/>
              <w:right w:val="single" w:sz="4" w:space="0" w:color="auto"/>
            </w:tcBorders>
            <w:shd w:val="clear" w:color="auto" w:fill="auto"/>
            <w:vAlign w:val="center"/>
            <w:hideMark/>
          </w:tcPr>
          <w:p w14:paraId="7A5A97EB" w14:textId="77777777" w:rsidR="00103C35" w:rsidRPr="00465E91" w:rsidRDefault="00103C35" w:rsidP="00103C35">
            <w:pPr>
              <w:spacing w:after="0"/>
              <w:jc w:val="right"/>
              <w:rPr>
                <w:rFonts w:cs="Arial"/>
                <w:color w:val="000000"/>
              </w:rPr>
            </w:pPr>
            <w:r w:rsidRPr="00465E91">
              <w:rPr>
                <w:rFonts w:cs="Arial"/>
                <w:color w:val="000000"/>
              </w:rPr>
              <w:t>21.4</w:t>
            </w:r>
          </w:p>
        </w:tc>
        <w:tc>
          <w:tcPr>
            <w:tcW w:w="940" w:type="dxa"/>
            <w:tcBorders>
              <w:top w:val="nil"/>
              <w:left w:val="nil"/>
              <w:bottom w:val="single" w:sz="4" w:space="0" w:color="auto"/>
              <w:right w:val="single" w:sz="4" w:space="0" w:color="auto"/>
            </w:tcBorders>
            <w:shd w:val="clear" w:color="auto" w:fill="auto"/>
            <w:vAlign w:val="center"/>
            <w:hideMark/>
          </w:tcPr>
          <w:p w14:paraId="008314D3" w14:textId="77777777" w:rsidR="00103C35" w:rsidRPr="00465E91" w:rsidRDefault="00103C35" w:rsidP="00103C35">
            <w:pPr>
              <w:spacing w:after="0"/>
              <w:jc w:val="right"/>
              <w:rPr>
                <w:rFonts w:cs="Arial"/>
                <w:color w:val="000000"/>
              </w:rPr>
            </w:pPr>
            <w:r w:rsidRPr="00465E91">
              <w:rPr>
                <w:rFonts w:cs="Arial"/>
                <w:color w:val="000000"/>
              </w:rPr>
              <w:t>20.0</w:t>
            </w:r>
          </w:p>
        </w:tc>
        <w:tc>
          <w:tcPr>
            <w:tcW w:w="940" w:type="dxa"/>
            <w:tcBorders>
              <w:top w:val="nil"/>
              <w:left w:val="nil"/>
              <w:bottom w:val="single" w:sz="4" w:space="0" w:color="auto"/>
              <w:right w:val="single" w:sz="4" w:space="0" w:color="auto"/>
            </w:tcBorders>
            <w:shd w:val="clear" w:color="auto" w:fill="FFE599" w:themeFill="accent4" w:themeFillTint="66"/>
            <w:vAlign w:val="center"/>
            <w:hideMark/>
          </w:tcPr>
          <w:p w14:paraId="3FC29F45" w14:textId="77777777" w:rsidR="00103C35" w:rsidRPr="00465E91" w:rsidRDefault="00103C35" w:rsidP="00103C35">
            <w:pPr>
              <w:spacing w:after="0"/>
              <w:jc w:val="right"/>
              <w:rPr>
                <w:rFonts w:cs="Arial"/>
                <w:color w:val="000000"/>
              </w:rPr>
            </w:pPr>
            <w:r w:rsidRPr="00465E91">
              <w:rPr>
                <w:rFonts w:cs="Arial"/>
                <w:color w:val="000000"/>
              </w:rPr>
              <w:t>19.0</w:t>
            </w:r>
          </w:p>
        </w:tc>
        <w:tc>
          <w:tcPr>
            <w:tcW w:w="940" w:type="dxa"/>
            <w:tcBorders>
              <w:top w:val="nil"/>
              <w:left w:val="nil"/>
              <w:bottom w:val="single" w:sz="4" w:space="0" w:color="auto"/>
              <w:right w:val="single" w:sz="4" w:space="0" w:color="auto"/>
            </w:tcBorders>
            <w:shd w:val="clear" w:color="auto" w:fill="auto"/>
            <w:vAlign w:val="center"/>
            <w:hideMark/>
          </w:tcPr>
          <w:p w14:paraId="2864F1E3" w14:textId="77777777" w:rsidR="00103C35" w:rsidRPr="00465E91" w:rsidRDefault="00103C35" w:rsidP="00103C35">
            <w:pPr>
              <w:spacing w:after="0"/>
              <w:jc w:val="right"/>
              <w:rPr>
                <w:rFonts w:cs="Arial"/>
                <w:color w:val="000000"/>
              </w:rPr>
            </w:pPr>
            <w:r w:rsidRPr="00465E91">
              <w:rPr>
                <w:rFonts w:cs="Arial"/>
                <w:color w:val="000000"/>
              </w:rPr>
              <w:t>18.0</w:t>
            </w:r>
          </w:p>
        </w:tc>
      </w:tr>
      <w:tr w:rsidR="00103C35" w:rsidRPr="00465E91" w14:paraId="421C04F7" w14:textId="77777777" w:rsidTr="00225520">
        <w:trPr>
          <w:trHeight w:val="285"/>
        </w:trPr>
        <w:tc>
          <w:tcPr>
            <w:tcW w:w="1960" w:type="dxa"/>
            <w:tcBorders>
              <w:top w:val="nil"/>
              <w:left w:val="single" w:sz="4" w:space="0" w:color="auto"/>
              <w:bottom w:val="single" w:sz="4" w:space="0" w:color="auto"/>
              <w:right w:val="single" w:sz="4" w:space="0" w:color="auto"/>
            </w:tcBorders>
            <w:shd w:val="clear" w:color="auto" w:fill="auto"/>
            <w:hideMark/>
          </w:tcPr>
          <w:p w14:paraId="778CF731" w14:textId="77777777" w:rsidR="00103C35" w:rsidRPr="00465E91" w:rsidRDefault="00103C35" w:rsidP="00103C35">
            <w:pPr>
              <w:spacing w:after="0"/>
              <w:rPr>
                <w:rFonts w:cs="Arial"/>
              </w:rPr>
            </w:pPr>
            <w:r w:rsidRPr="00465E91">
              <w:rPr>
                <w:rFonts w:cs="Arial"/>
              </w:rPr>
              <w:t>Reduction -  £m</w:t>
            </w:r>
          </w:p>
        </w:tc>
        <w:tc>
          <w:tcPr>
            <w:tcW w:w="940" w:type="dxa"/>
            <w:tcBorders>
              <w:top w:val="nil"/>
              <w:left w:val="nil"/>
              <w:bottom w:val="single" w:sz="4" w:space="0" w:color="auto"/>
              <w:right w:val="single" w:sz="4" w:space="0" w:color="auto"/>
            </w:tcBorders>
            <w:shd w:val="clear" w:color="auto" w:fill="auto"/>
            <w:vAlign w:val="bottom"/>
            <w:hideMark/>
          </w:tcPr>
          <w:p w14:paraId="75F412ED" w14:textId="77777777" w:rsidR="00103C35" w:rsidRPr="00465E91" w:rsidRDefault="00103C35" w:rsidP="00103C35">
            <w:pPr>
              <w:spacing w:after="0"/>
              <w:rPr>
                <w:rFonts w:cs="Arial"/>
              </w:rPr>
            </w:pPr>
            <w:r w:rsidRPr="00465E91">
              <w:rPr>
                <w:rFonts w:cs="Arial"/>
              </w:rPr>
              <w:t> </w:t>
            </w:r>
          </w:p>
        </w:tc>
        <w:tc>
          <w:tcPr>
            <w:tcW w:w="940" w:type="dxa"/>
            <w:tcBorders>
              <w:top w:val="nil"/>
              <w:left w:val="nil"/>
              <w:bottom w:val="single" w:sz="4" w:space="0" w:color="auto"/>
              <w:right w:val="single" w:sz="4" w:space="0" w:color="auto"/>
            </w:tcBorders>
            <w:shd w:val="clear" w:color="auto" w:fill="auto"/>
            <w:vAlign w:val="center"/>
            <w:hideMark/>
          </w:tcPr>
          <w:p w14:paraId="2F86FF51" w14:textId="77777777" w:rsidR="00103C35" w:rsidRPr="00465E91" w:rsidRDefault="00103C35" w:rsidP="00103C35">
            <w:pPr>
              <w:spacing w:after="0"/>
              <w:jc w:val="right"/>
              <w:rPr>
                <w:rFonts w:cs="Arial"/>
                <w:color w:val="000000"/>
              </w:rPr>
            </w:pPr>
            <w:r w:rsidRPr="00465E91">
              <w:rPr>
                <w:rFonts w:cs="Arial"/>
                <w:color w:val="000000"/>
              </w:rPr>
              <w:t>2.0</w:t>
            </w:r>
          </w:p>
        </w:tc>
        <w:tc>
          <w:tcPr>
            <w:tcW w:w="940" w:type="dxa"/>
            <w:tcBorders>
              <w:top w:val="nil"/>
              <w:left w:val="nil"/>
              <w:bottom w:val="single" w:sz="4" w:space="0" w:color="auto"/>
              <w:right w:val="single" w:sz="4" w:space="0" w:color="auto"/>
            </w:tcBorders>
            <w:shd w:val="clear" w:color="auto" w:fill="auto"/>
            <w:vAlign w:val="center"/>
            <w:hideMark/>
          </w:tcPr>
          <w:p w14:paraId="68FD8B95" w14:textId="77777777" w:rsidR="00103C35" w:rsidRPr="00465E91" w:rsidRDefault="00103C35" w:rsidP="00103C35">
            <w:pPr>
              <w:spacing w:after="0"/>
              <w:jc w:val="right"/>
              <w:rPr>
                <w:rFonts w:cs="Arial"/>
                <w:color w:val="000000"/>
              </w:rPr>
            </w:pPr>
            <w:r w:rsidRPr="00465E91">
              <w:rPr>
                <w:rFonts w:cs="Arial"/>
                <w:color w:val="000000"/>
              </w:rPr>
              <w:t>1.4</w:t>
            </w:r>
          </w:p>
        </w:tc>
        <w:tc>
          <w:tcPr>
            <w:tcW w:w="940" w:type="dxa"/>
            <w:tcBorders>
              <w:top w:val="nil"/>
              <w:left w:val="nil"/>
              <w:bottom w:val="single" w:sz="4" w:space="0" w:color="auto"/>
              <w:right w:val="single" w:sz="4" w:space="0" w:color="auto"/>
            </w:tcBorders>
            <w:shd w:val="clear" w:color="auto" w:fill="FFE599" w:themeFill="accent4" w:themeFillTint="66"/>
            <w:vAlign w:val="center"/>
            <w:hideMark/>
          </w:tcPr>
          <w:p w14:paraId="61E0C611" w14:textId="77777777" w:rsidR="00103C35" w:rsidRPr="00465E91" w:rsidRDefault="00103C35" w:rsidP="00103C35">
            <w:pPr>
              <w:spacing w:after="0"/>
              <w:jc w:val="right"/>
              <w:rPr>
                <w:rFonts w:cs="Arial"/>
                <w:color w:val="000000"/>
              </w:rPr>
            </w:pPr>
            <w:r w:rsidRPr="00465E91">
              <w:rPr>
                <w:rFonts w:cs="Arial"/>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14:paraId="071B6C72" w14:textId="77777777" w:rsidR="00103C35" w:rsidRPr="00465E91" w:rsidRDefault="00103C35" w:rsidP="00103C35">
            <w:pPr>
              <w:spacing w:after="0"/>
              <w:jc w:val="right"/>
              <w:rPr>
                <w:rFonts w:cs="Arial"/>
                <w:color w:val="000000"/>
              </w:rPr>
            </w:pPr>
            <w:r w:rsidRPr="00465E91">
              <w:rPr>
                <w:rFonts w:cs="Arial"/>
                <w:color w:val="000000"/>
              </w:rPr>
              <w:t>1.0</w:t>
            </w:r>
          </w:p>
        </w:tc>
      </w:tr>
      <w:tr w:rsidR="00103C35" w:rsidRPr="00465E91" w14:paraId="301AED3C" w14:textId="77777777" w:rsidTr="00225520">
        <w:trPr>
          <w:trHeight w:val="285"/>
        </w:trPr>
        <w:tc>
          <w:tcPr>
            <w:tcW w:w="1960" w:type="dxa"/>
            <w:tcBorders>
              <w:top w:val="nil"/>
              <w:left w:val="single" w:sz="4" w:space="0" w:color="auto"/>
              <w:bottom w:val="single" w:sz="4" w:space="0" w:color="auto"/>
              <w:right w:val="single" w:sz="4" w:space="0" w:color="auto"/>
            </w:tcBorders>
            <w:shd w:val="clear" w:color="auto" w:fill="auto"/>
            <w:hideMark/>
          </w:tcPr>
          <w:p w14:paraId="47F7505F" w14:textId="77777777" w:rsidR="00103C35" w:rsidRPr="00465E91" w:rsidRDefault="00103C35" w:rsidP="00103C35">
            <w:pPr>
              <w:spacing w:after="0"/>
              <w:rPr>
                <w:rFonts w:cs="Arial"/>
              </w:rPr>
            </w:pPr>
            <w:r w:rsidRPr="00465E91">
              <w:rPr>
                <w:rFonts w:cs="Arial"/>
              </w:rPr>
              <w:t>Reduction %</w:t>
            </w:r>
          </w:p>
        </w:tc>
        <w:tc>
          <w:tcPr>
            <w:tcW w:w="940" w:type="dxa"/>
            <w:tcBorders>
              <w:top w:val="nil"/>
              <w:left w:val="nil"/>
              <w:bottom w:val="single" w:sz="4" w:space="0" w:color="auto"/>
              <w:right w:val="single" w:sz="4" w:space="0" w:color="auto"/>
            </w:tcBorders>
            <w:shd w:val="clear" w:color="auto" w:fill="auto"/>
            <w:vAlign w:val="bottom"/>
            <w:hideMark/>
          </w:tcPr>
          <w:p w14:paraId="75D321C7" w14:textId="77777777" w:rsidR="00103C35" w:rsidRPr="00465E91" w:rsidRDefault="00103C35" w:rsidP="00103C35">
            <w:pPr>
              <w:spacing w:after="0"/>
              <w:rPr>
                <w:rFonts w:cs="Arial"/>
              </w:rPr>
            </w:pPr>
            <w:r w:rsidRPr="00465E91">
              <w:rPr>
                <w:rFonts w:cs="Arial"/>
              </w:rPr>
              <w:t> </w:t>
            </w:r>
          </w:p>
        </w:tc>
        <w:tc>
          <w:tcPr>
            <w:tcW w:w="940" w:type="dxa"/>
            <w:tcBorders>
              <w:top w:val="nil"/>
              <w:left w:val="nil"/>
              <w:bottom w:val="single" w:sz="4" w:space="0" w:color="auto"/>
              <w:right w:val="single" w:sz="4" w:space="0" w:color="auto"/>
            </w:tcBorders>
            <w:shd w:val="clear" w:color="auto" w:fill="auto"/>
            <w:vAlign w:val="center"/>
            <w:hideMark/>
          </w:tcPr>
          <w:p w14:paraId="3FC3C442" w14:textId="77777777" w:rsidR="00103C35" w:rsidRPr="00465E91" w:rsidRDefault="00103C35" w:rsidP="00103C35">
            <w:pPr>
              <w:spacing w:after="0"/>
              <w:jc w:val="right"/>
              <w:rPr>
                <w:rFonts w:cs="Arial"/>
                <w:color w:val="000000"/>
              </w:rPr>
            </w:pPr>
            <w:r w:rsidRPr="00465E91">
              <w:rPr>
                <w:rFonts w:cs="Arial"/>
                <w:color w:val="000000"/>
              </w:rPr>
              <w:t>8.5%</w:t>
            </w:r>
          </w:p>
        </w:tc>
        <w:tc>
          <w:tcPr>
            <w:tcW w:w="940" w:type="dxa"/>
            <w:tcBorders>
              <w:top w:val="nil"/>
              <w:left w:val="nil"/>
              <w:bottom w:val="single" w:sz="4" w:space="0" w:color="auto"/>
              <w:right w:val="single" w:sz="4" w:space="0" w:color="auto"/>
            </w:tcBorders>
            <w:shd w:val="clear" w:color="auto" w:fill="auto"/>
            <w:vAlign w:val="center"/>
            <w:hideMark/>
          </w:tcPr>
          <w:p w14:paraId="544CE048" w14:textId="77777777" w:rsidR="00103C35" w:rsidRPr="00465E91" w:rsidRDefault="00103C35" w:rsidP="00103C35">
            <w:pPr>
              <w:spacing w:after="0"/>
              <w:jc w:val="right"/>
              <w:rPr>
                <w:rFonts w:cs="Arial"/>
                <w:color w:val="000000"/>
              </w:rPr>
            </w:pPr>
            <w:r w:rsidRPr="00465E91">
              <w:rPr>
                <w:rFonts w:cs="Arial"/>
                <w:color w:val="000000"/>
              </w:rPr>
              <w:t>6.5%</w:t>
            </w:r>
          </w:p>
        </w:tc>
        <w:tc>
          <w:tcPr>
            <w:tcW w:w="940" w:type="dxa"/>
            <w:tcBorders>
              <w:top w:val="nil"/>
              <w:left w:val="nil"/>
              <w:bottom w:val="single" w:sz="4" w:space="0" w:color="auto"/>
              <w:right w:val="single" w:sz="4" w:space="0" w:color="auto"/>
            </w:tcBorders>
            <w:shd w:val="clear" w:color="auto" w:fill="FFE599" w:themeFill="accent4" w:themeFillTint="66"/>
            <w:vAlign w:val="center"/>
            <w:hideMark/>
          </w:tcPr>
          <w:p w14:paraId="24450EDD" w14:textId="77777777" w:rsidR="00103C35" w:rsidRPr="00465E91" w:rsidRDefault="00103C35" w:rsidP="00103C35">
            <w:pPr>
              <w:spacing w:after="0"/>
              <w:jc w:val="right"/>
              <w:rPr>
                <w:rFonts w:cs="Arial"/>
                <w:color w:val="000000"/>
              </w:rPr>
            </w:pPr>
            <w:r w:rsidRPr="00465E91">
              <w:rPr>
                <w:rFonts w:cs="Arial"/>
                <w:color w:val="000000"/>
              </w:rPr>
              <w:t>5.0%</w:t>
            </w:r>
          </w:p>
        </w:tc>
        <w:tc>
          <w:tcPr>
            <w:tcW w:w="940" w:type="dxa"/>
            <w:tcBorders>
              <w:top w:val="nil"/>
              <w:left w:val="nil"/>
              <w:bottom w:val="single" w:sz="4" w:space="0" w:color="auto"/>
              <w:right w:val="single" w:sz="4" w:space="0" w:color="auto"/>
            </w:tcBorders>
            <w:shd w:val="clear" w:color="auto" w:fill="auto"/>
            <w:vAlign w:val="center"/>
            <w:hideMark/>
          </w:tcPr>
          <w:p w14:paraId="0857EC8F" w14:textId="77777777" w:rsidR="00103C35" w:rsidRPr="00465E91" w:rsidRDefault="00103C35" w:rsidP="00103C35">
            <w:pPr>
              <w:spacing w:after="0"/>
              <w:jc w:val="right"/>
              <w:rPr>
                <w:rFonts w:cs="Arial"/>
                <w:color w:val="000000"/>
              </w:rPr>
            </w:pPr>
            <w:r w:rsidRPr="00465E91">
              <w:rPr>
                <w:rFonts w:cs="Arial"/>
                <w:color w:val="000000"/>
              </w:rPr>
              <w:t>5.3%</w:t>
            </w:r>
          </w:p>
        </w:tc>
      </w:tr>
    </w:tbl>
    <w:p w14:paraId="140BF4FC" w14:textId="77777777" w:rsidR="00103C35" w:rsidRPr="00EA23CA" w:rsidRDefault="00103C35" w:rsidP="00103C35">
      <w:pPr>
        <w:spacing w:after="0"/>
        <w:rPr>
          <w:b/>
        </w:rPr>
      </w:pPr>
      <w:r w:rsidRPr="00465E91">
        <w:t xml:space="preserve"> </w:t>
      </w:r>
    </w:p>
    <w:p w14:paraId="29C22763" w14:textId="77777777" w:rsidR="00103C35" w:rsidRDefault="00103C35" w:rsidP="00B42A88">
      <w:pPr>
        <w:ind w:left="0" w:firstLine="0"/>
      </w:pPr>
      <w:r>
        <w:t>The Financial Strategy identified a number of budget pressures or opportunities over the three year period. These are identified with the impact shown as the variance from the Strategy baseline (2016/17 forecast outturn):</w:t>
      </w:r>
    </w:p>
    <w:tbl>
      <w:tblPr>
        <w:tblW w:w="7760" w:type="dxa"/>
        <w:tblInd w:w="607" w:type="dxa"/>
        <w:tblLook w:val="04A0" w:firstRow="1" w:lastRow="0" w:firstColumn="1" w:lastColumn="0" w:noHBand="0" w:noVBand="1"/>
      </w:tblPr>
      <w:tblGrid>
        <w:gridCol w:w="4415"/>
        <w:gridCol w:w="1115"/>
        <w:gridCol w:w="1115"/>
        <w:gridCol w:w="1115"/>
      </w:tblGrid>
      <w:tr w:rsidR="00103C35" w:rsidRPr="00286871" w14:paraId="1FE48120" w14:textId="77777777" w:rsidTr="00103C35">
        <w:trPr>
          <w:trHeight w:val="600"/>
        </w:trPr>
        <w:tc>
          <w:tcPr>
            <w:tcW w:w="472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6DD184" w14:textId="77777777" w:rsidR="00103C35" w:rsidRPr="00286871" w:rsidRDefault="00103C35" w:rsidP="00103C35">
            <w:pPr>
              <w:spacing w:after="0"/>
              <w:rPr>
                <w:rFonts w:cs="Arial"/>
                <w:b/>
                <w:bCs/>
              </w:rPr>
            </w:pPr>
            <w:r w:rsidRPr="00286871">
              <w:rPr>
                <w:rFonts w:cs="Arial"/>
                <w:b/>
                <w:bCs/>
              </w:rPr>
              <w:t>Budget pressure or (opportunity)</w:t>
            </w:r>
          </w:p>
        </w:tc>
        <w:tc>
          <w:tcPr>
            <w:tcW w:w="1012" w:type="dxa"/>
            <w:tcBorders>
              <w:top w:val="single" w:sz="4" w:space="0" w:color="auto"/>
              <w:left w:val="nil"/>
              <w:bottom w:val="single" w:sz="4" w:space="0" w:color="auto"/>
              <w:right w:val="single" w:sz="4" w:space="0" w:color="auto"/>
            </w:tcBorders>
            <w:shd w:val="clear" w:color="000000" w:fill="BFBFBF"/>
            <w:hideMark/>
          </w:tcPr>
          <w:p w14:paraId="480B728B" w14:textId="77777777" w:rsidR="00103C35" w:rsidRPr="00286871" w:rsidRDefault="00103C35" w:rsidP="00103C35">
            <w:pPr>
              <w:spacing w:after="0"/>
              <w:rPr>
                <w:rFonts w:cs="Arial"/>
                <w:b/>
                <w:bCs/>
              </w:rPr>
            </w:pPr>
            <w:r w:rsidRPr="00286871">
              <w:rPr>
                <w:rFonts w:cs="Arial"/>
                <w:b/>
                <w:bCs/>
              </w:rPr>
              <w:t>2017/18</w:t>
            </w:r>
            <w:r w:rsidRPr="00286871">
              <w:rPr>
                <w:rFonts w:cs="Arial"/>
                <w:b/>
                <w:bCs/>
              </w:rPr>
              <w:br/>
              <w:t>£'000</w:t>
            </w:r>
          </w:p>
        </w:tc>
        <w:tc>
          <w:tcPr>
            <w:tcW w:w="1012" w:type="dxa"/>
            <w:tcBorders>
              <w:top w:val="single" w:sz="4" w:space="0" w:color="auto"/>
              <w:left w:val="nil"/>
              <w:bottom w:val="single" w:sz="4" w:space="0" w:color="auto"/>
              <w:right w:val="single" w:sz="4" w:space="0" w:color="auto"/>
            </w:tcBorders>
            <w:shd w:val="clear" w:color="000000" w:fill="BFBFBF"/>
            <w:hideMark/>
          </w:tcPr>
          <w:p w14:paraId="7A36242C" w14:textId="77777777" w:rsidR="00103C35" w:rsidRPr="00286871" w:rsidRDefault="00103C35" w:rsidP="00103C35">
            <w:pPr>
              <w:spacing w:after="0"/>
              <w:rPr>
                <w:rFonts w:cs="Arial"/>
                <w:b/>
                <w:bCs/>
              </w:rPr>
            </w:pPr>
            <w:r w:rsidRPr="00286871">
              <w:rPr>
                <w:rFonts w:cs="Arial"/>
                <w:b/>
                <w:bCs/>
              </w:rPr>
              <w:t>2018/19</w:t>
            </w:r>
            <w:r w:rsidRPr="00286871">
              <w:rPr>
                <w:rFonts w:cs="Arial"/>
                <w:b/>
                <w:bCs/>
              </w:rPr>
              <w:br/>
              <w:t>£'000</w:t>
            </w:r>
          </w:p>
        </w:tc>
        <w:tc>
          <w:tcPr>
            <w:tcW w:w="1012" w:type="dxa"/>
            <w:tcBorders>
              <w:top w:val="single" w:sz="4" w:space="0" w:color="auto"/>
              <w:left w:val="nil"/>
              <w:bottom w:val="single" w:sz="4" w:space="0" w:color="auto"/>
              <w:right w:val="single" w:sz="4" w:space="0" w:color="auto"/>
            </w:tcBorders>
            <w:shd w:val="clear" w:color="000000" w:fill="BFBFBF"/>
            <w:hideMark/>
          </w:tcPr>
          <w:p w14:paraId="0A16987C" w14:textId="77777777" w:rsidR="00103C35" w:rsidRPr="00286871" w:rsidRDefault="00103C35" w:rsidP="00103C35">
            <w:pPr>
              <w:spacing w:after="0"/>
              <w:rPr>
                <w:rFonts w:cs="Arial"/>
                <w:b/>
                <w:bCs/>
              </w:rPr>
            </w:pPr>
            <w:r w:rsidRPr="00286871">
              <w:rPr>
                <w:rFonts w:cs="Arial"/>
                <w:b/>
                <w:bCs/>
              </w:rPr>
              <w:t>2019/20</w:t>
            </w:r>
            <w:r w:rsidRPr="00286871">
              <w:rPr>
                <w:rFonts w:cs="Arial"/>
                <w:b/>
                <w:bCs/>
              </w:rPr>
              <w:br/>
              <w:t>£'000</w:t>
            </w:r>
          </w:p>
        </w:tc>
      </w:tr>
      <w:tr w:rsidR="00103C35" w:rsidRPr="00286871" w14:paraId="568F704F"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1C3A6552" w14:textId="77777777" w:rsidR="00103C35" w:rsidRPr="00286871" w:rsidRDefault="00103C35" w:rsidP="00103C35">
            <w:pPr>
              <w:spacing w:after="0"/>
              <w:rPr>
                <w:rFonts w:cs="Arial"/>
                <w:color w:val="000000"/>
              </w:rPr>
            </w:pPr>
            <w:r w:rsidRPr="00286871">
              <w:rPr>
                <w:rFonts w:cs="Arial"/>
                <w:color w:val="000000"/>
              </w:rPr>
              <w:t xml:space="preserve">Increments, Pay awards, Pensions </w:t>
            </w:r>
            <w:proofErr w:type="spellStart"/>
            <w:r w:rsidRPr="00286871">
              <w:rPr>
                <w:rFonts w:cs="Arial"/>
                <w:color w:val="000000"/>
              </w:rPr>
              <w:t>Oncosts</w:t>
            </w:r>
            <w:proofErr w:type="spellEnd"/>
            <w:r w:rsidRPr="00286871">
              <w:rPr>
                <w:rFonts w:cs="Arial"/>
                <w:color w:val="000000"/>
              </w:rPr>
              <w:t xml:space="preserve"> and Apprenticeship levy adding 4% to costs</w:t>
            </w:r>
          </w:p>
        </w:tc>
        <w:tc>
          <w:tcPr>
            <w:tcW w:w="1012" w:type="dxa"/>
            <w:tcBorders>
              <w:top w:val="nil"/>
              <w:left w:val="nil"/>
              <w:bottom w:val="single" w:sz="4" w:space="0" w:color="auto"/>
              <w:right w:val="single" w:sz="4" w:space="0" w:color="auto"/>
            </w:tcBorders>
            <w:shd w:val="clear" w:color="auto" w:fill="auto"/>
            <w:noWrap/>
            <w:hideMark/>
          </w:tcPr>
          <w:p w14:paraId="074DB337" w14:textId="77777777" w:rsidR="00103C35" w:rsidRPr="00286871" w:rsidRDefault="00103C35" w:rsidP="00103C35">
            <w:pPr>
              <w:spacing w:after="0"/>
              <w:jc w:val="right"/>
              <w:rPr>
                <w:rFonts w:cs="Arial"/>
              </w:rPr>
            </w:pPr>
            <w:r w:rsidRPr="00F3768B">
              <w:t>296</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4AE0EFD7" w14:textId="77777777" w:rsidR="00103C35" w:rsidRPr="00286871" w:rsidRDefault="00103C35" w:rsidP="00103C35">
            <w:pPr>
              <w:spacing w:after="0"/>
              <w:jc w:val="right"/>
              <w:rPr>
                <w:rFonts w:cs="Arial"/>
              </w:rPr>
            </w:pPr>
            <w:r w:rsidRPr="00F3768B">
              <w:t>456</w:t>
            </w:r>
          </w:p>
        </w:tc>
        <w:tc>
          <w:tcPr>
            <w:tcW w:w="1012" w:type="dxa"/>
            <w:tcBorders>
              <w:top w:val="nil"/>
              <w:left w:val="nil"/>
              <w:bottom w:val="single" w:sz="4" w:space="0" w:color="auto"/>
              <w:right w:val="single" w:sz="4" w:space="0" w:color="auto"/>
            </w:tcBorders>
            <w:shd w:val="clear" w:color="auto" w:fill="auto"/>
            <w:noWrap/>
            <w:hideMark/>
          </w:tcPr>
          <w:p w14:paraId="325DE10D" w14:textId="77777777" w:rsidR="00103C35" w:rsidRPr="00286871" w:rsidRDefault="00103C35" w:rsidP="00103C35">
            <w:pPr>
              <w:spacing w:after="0"/>
              <w:jc w:val="right"/>
              <w:rPr>
                <w:rFonts w:cs="Arial"/>
              </w:rPr>
            </w:pPr>
            <w:r w:rsidRPr="00F3768B">
              <w:t>622</w:t>
            </w:r>
          </w:p>
        </w:tc>
      </w:tr>
      <w:tr w:rsidR="00103C35" w:rsidRPr="00286871" w14:paraId="2A85FC00"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57D47691" w14:textId="77777777" w:rsidR="00103C35" w:rsidRPr="00286871" w:rsidRDefault="00103C35" w:rsidP="00103C35">
            <w:pPr>
              <w:spacing w:after="0"/>
              <w:rPr>
                <w:rFonts w:cs="Arial"/>
                <w:color w:val="000000"/>
              </w:rPr>
            </w:pPr>
            <w:r w:rsidRPr="00286871">
              <w:rPr>
                <w:rFonts w:cs="Arial"/>
                <w:color w:val="000000"/>
              </w:rPr>
              <w:t>Removal of Vacancy Allowance from Budgets</w:t>
            </w:r>
          </w:p>
        </w:tc>
        <w:tc>
          <w:tcPr>
            <w:tcW w:w="1012" w:type="dxa"/>
            <w:tcBorders>
              <w:top w:val="nil"/>
              <w:left w:val="nil"/>
              <w:bottom w:val="single" w:sz="4" w:space="0" w:color="auto"/>
              <w:right w:val="single" w:sz="4" w:space="0" w:color="auto"/>
            </w:tcBorders>
            <w:shd w:val="clear" w:color="auto" w:fill="auto"/>
            <w:noWrap/>
            <w:hideMark/>
          </w:tcPr>
          <w:p w14:paraId="0CD579C9" w14:textId="77777777" w:rsidR="00103C35" w:rsidRPr="00286871" w:rsidRDefault="00103C35" w:rsidP="00103C35">
            <w:pPr>
              <w:spacing w:after="0"/>
              <w:jc w:val="right"/>
              <w:rPr>
                <w:rFonts w:cs="Arial"/>
              </w:rPr>
            </w:pPr>
            <w:r w:rsidRPr="00F3768B">
              <w:t>329</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74ADD714" w14:textId="77777777" w:rsidR="00103C35" w:rsidRPr="00286871" w:rsidRDefault="00103C35" w:rsidP="00103C35">
            <w:pPr>
              <w:spacing w:after="0"/>
              <w:jc w:val="right"/>
              <w:rPr>
                <w:rFonts w:cs="Arial"/>
              </w:rPr>
            </w:pPr>
            <w:r w:rsidRPr="00F3768B">
              <w:t>329</w:t>
            </w:r>
          </w:p>
        </w:tc>
        <w:tc>
          <w:tcPr>
            <w:tcW w:w="1012" w:type="dxa"/>
            <w:tcBorders>
              <w:top w:val="nil"/>
              <w:left w:val="nil"/>
              <w:bottom w:val="single" w:sz="4" w:space="0" w:color="auto"/>
              <w:right w:val="single" w:sz="4" w:space="0" w:color="auto"/>
            </w:tcBorders>
            <w:shd w:val="clear" w:color="auto" w:fill="auto"/>
            <w:noWrap/>
            <w:hideMark/>
          </w:tcPr>
          <w:p w14:paraId="4C2109E9" w14:textId="77777777" w:rsidR="00103C35" w:rsidRPr="00286871" w:rsidRDefault="00103C35" w:rsidP="00103C35">
            <w:pPr>
              <w:spacing w:after="0"/>
              <w:jc w:val="right"/>
              <w:rPr>
                <w:rFonts w:cs="Arial"/>
              </w:rPr>
            </w:pPr>
            <w:r w:rsidRPr="00F3768B">
              <w:t>329</w:t>
            </w:r>
          </w:p>
        </w:tc>
      </w:tr>
      <w:tr w:rsidR="00103C35" w:rsidRPr="00286871" w14:paraId="1F112B89"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712142FF" w14:textId="77777777" w:rsidR="00103C35" w:rsidRPr="00286871" w:rsidRDefault="00103C35" w:rsidP="00103C35">
            <w:pPr>
              <w:spacing w:after="0"/>
              <w:rPr>
                <w:rFonts w:cs="Arial"/>
                <w:color w:val="000000"/>
              </w:rPr>
            </w:pPr>
            <w:r w:rsidRPr="00286871">
              <w:rPr>
                <w:rFonts w:cs="Arial"/>
                <w:color w:val="000000"/>
              </w:rPr>
              <w:t>Pension Deficit Repayments</w:t>
            </w:r>
          </w:p>
        </w:tc>
        <w:tc>
          <w:tcPr>
            <w:tcW w:w="1012" w:type="dxa"/>
            <w:tcBorders>
              <w:top w:val="nil"/>
              <w:left w:val="nil"/>
              <w:bottom w:val="single" w:sz="4" w:space="0" w:color="auto"/>
              <w:right w:val="single" w:sz="4" w:space="0" w:color="auto"/>
            </w:tcBorders>
            <w:shd w:val="clear" w:color="auto" w:fill="auto"/>
            <w:noWrap/>
            <w:hideMark/>
          </w:tcPr>
          <w:p w14:paraId="241416EA" w14:textId="77777777" w:rsidR="00103C35" w:rsidRPr="00286871" w:rsidRDefault="00103C35" w:rsidP="00103C35">
            <w:pPr>
              <w:spacing w:after="0"/>
              <w:jc w:val="right"/>
              <w:rPr>
                <w:rFonts w:cs="Arial"/>
              </w:rPr>
            </w:pPr>
            <w:r w:rsidRPr="00F3768B">
              <w:t>(229)</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31BFE69A" w14:textId="77777777" w:rsidR="00103C35" w:rsidRPr="00286871" w:rsidRDefault="00103C35" w:rsidP="00103C35">
            <w:pPr>
              <w:spacing w:after="0"/>
              <w:jc w:val="right"/>
              <w:rPr>
                <w:rFonts w:cs="Arial"/>
              </w:rPr>
            </w:pPr>
            <w:r w:rsidRPr="00F3768B">
              <w:t>(162)</w:t>
            </w:r>
          </w:p>
        </w:tc>
        <w:tc>
          <w:tcPr>
            <w:tcW w:w="1012" w:type="dxa"/>
            <w:tcBorders>
              <w:top w:val="nil"/>
              <w:left w:val="nil"/>
              <w:bottom w:val="single" w:sz="4" w:space="0" w:color="auto"/>
              <w:right w:val="single" w:sz="4" w:space="0" w:color="auto"/>
            </w:tcBorders>
            <w:shd w:val="clear" w:color="auto" w:fill="auto"/>
            <w:noWrap/>
            <w:hideMark/>
          </w:tcPr>
          <w:p w14:paraId="29FE6263" w14:textId="77777777" w:rsidR="00103C35" w:rsidRPr="00286871" w:rsidRDefault="00103C35" w:rsidP="00103C35">
            <w:pPr>
              <w:spacing w:after="0"/>
              <w:jc w:val="right"/>
              <w:rPr>
                <w:rFonts w:cs="Arial"/>
              </w:rPr>
            </w:pPr>
            <w:r w:rsidRPr="00F3768B">
              <w:t>(94)</w:t>
            </w:r>
          </w:p>
        </w:tc>
      </w:tr>
      <w:tr w:rsidR="00103C35" w:rsidRPr="00286871" w14:paraId="77796467" w14:textId="77777777" w:rsidTr="00225520">
        <w:trPr>
          <w:trHeight w:val="300"/>
        </w:trPr>
        <w:tc>
          <w:tcPr>
            <w:tcW w:w="4724" w:type="dxa"/>
            <w:tcBorders>
              <w:top w:val="nil"/>
              <w:left w:val="single" w:sz="4" w:space="0" w:color="auto"/>
              <w:bottom w:val="nil"/>
              <w:right w:val="single" w:sz="4" w:space="0" w:color="auto"/>
            </w:tcBorders>
            <w:shd w:val="clear" w:color="auto" w:fill="auto"/>
            <w:vAlign w:val="center"/>
            <w:hideMark/>
          </w:tcPr>
          <w:p w14:paraId="70BFE9C1" w14:textId="77777777" w:rsidR="00103C35" w:rsidRPr="00286871" w:rsidRDefault="00103C35" w:rsidP="00103C35">
            <w:pPr>
              <w:spacing w:after="0"/>
              <w:rPr>
                <w:rFonts w:cs="Arial"/>
                <w:color w:val="000000"/>
              </w:rPr>
            </w:pPr>
            <w:r w:rsidRPr="00286871">
              <w:rPr>
                <w:rFonts w:cs="Arial"/>
                <w:color w:val="000000"/>
              </w:rPr>
              <w:t>Additional Commercial Income targets</w:t>
            </w:r>
          </w:p>
        </w:tc>
        <w:tc>
          <w:tcPr>
            <w:tcW w:w="1012" w:type="dxa"/>
            <w:tcBorders>
              <w:top w:val="nil"/>
              <w:left w:val="nil"/>
              <w:bottom w:val="nil"/>
              <w:right w:val="single" w:sz="4" w:space="0" w:color="auto"/>
            </w:tcBorders>
            <w:shd w:val="clear" w:color="auto" w:fill="auto"/>
            <w:noWrap/>
            <w:hideMark/>
          </w:tcPr>
          <w:p w14:paraId="0D7779CB" w14:textId="77777777" w:rsidR="00103C35" w:rsidRPr="00286871" w:rsidRDefault="00103C35" w:rsidP="00103C35">
            <w:pPr>
              <w:spacing w:after="0"/>
              <w:jc w:val="right"/>
              <w:rPr>
                <w:rFonts w:cs="Arial"/>
              </w:rPr>
            </w:pPr>
            <w:r w:rsidRPr="00F3768B">
              <w:t>(250)</w:t>
            </w:r>
          </w:p>
        </w:tc>
        <w:tc>
          <w:tcPr>
            <w:tcW w:w="1012" w:type="dxa"/>
            <w:tcBorders>
              <w:top w:val="nil"/>
              <w:left w:val="nil"/>
              <w:bottom w:val="nil"/>
              <w:right w:val="single" w:sz="4" w:space="0" w:color="auto"/>
            </w:tcBorders>
            <w:shd w:val="clear" w:color="auto" w:fill="FFE599" w:themeFill="accent4" w:themeFillTint="66"/>
            <w:noWrap/>
            <w:hideMark/>
          </w:tcPr>
          <w:p w14:paraId="3B880AC8" w14:textId="77777777" w:rsidR="00103C35" w:rsidRPr="00286871" w:rsidRDefault="00103C35" w:rsidP="00103C35">
            <w:pPr>
              <w:spacing w:after="0"/>
              <w:jc w:val="right"/>
              <w:rPr>
                <w:rFonts w:cs="Arial"/>
              </w:rPr>
            </w:pPr>
            <w:r w:rsidRPr="00F3768B">
              <w:t>(500)</w:t>
            </w:r>
          </w:p>
        </w:tc>
        <w:tc>
          <w:tcPr>
            <w:tcW w:w="1012" w:type="dxa"/>
            <w:tcBorders>
              <w:top w:val="nil"/>
              <w:left w:val="nil"/>
              <w:bottom w:val="nil"/>
              <w:right w:val="single" w:sz="4" w:space="0" w:color="auto"/>
            </w:tcBorders>
            <w:shd w:val="clear" w:color="auto" w:fill="auto"/>
            <w:noWrap/>
            <w:hideMark/>
          </w:tcPr>
          <w:p w14:paraId="6D1270AC" w14:textId="77777777" w:rsidR="00103C35" w:rsidRPr="00286871" w:rsidRDefault="00103C35" w:rsidP="00103C35">
            <w:pPr>
              <w:spacing w:after="0"/>
              <w:jc w:val="right"/>
              <w:rPr>
                <w:rFonts w:cs="Arial"/>
              </w:rPr>
            </w:pPr>
            <w:r w:rsidRPr="00F3768B">
              <w:t>(500)</w:t>
            </w:r>
          </w:p>
        </w:tc>
      </w:tr>
      <w:tr w:rsidR="00103C35" w:rsidRPr="00286871" w14:paraId="100D786C" w14:textId="77777777" w:rsidTr="00225520">
        <w:trPr>
          <w:trHeight w:val="285"/>
        </w:trPr>
        <w:tc>
          <w:tcPr>
            <w:tcW w:w="472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70DAF3E" w14:textId="77777777" w:rsidR="00103C35" w:rsidRPr="00286871" w:rsidRDefault="00103C35" w:rsidP="00103C35">
            <w:pPr>
              <w:spacing w:after="0"/>
              <w:rPr>
                <w:rFonts w:cs="Arial"/>
                <w:color w:val="000000"/>
              </w:rPr>
            </w:pPr>
            <w:r w:rsidRPr="00286871">
              <w:rPr>
                <w:rFonts w:cs="Arial"/>
                <w:color w:val="000000"/>
              </w:rPr>
              <w:t xml:space="preserve">Estimated Reduced DCLG grant to IDeA </w:t>
            </w:r>
          </w:p>
        </w:tc>
        <w:tc>
          <w:tcPr>
            <w:tcW w:w="1012" w:type="dxa"/>
            <w:tcBorders>
              <w:top w:val="single" w:sz="8" w:space="0" w:color="auto"/>
              <w:left w:val="nil"/>
              <w:bottom w:val="single" w:sz="4" w:space="0" w:color="auto"/>
              <w:right w:val="single" w:sz="4" w:space="0" w:color="auto"/>
            </w:tcBorders>
            <w:shd w:val="clear" w:color="auto" w:fill="D9D9D9" w:themeFill="background1" w:themeFillShade="D9"/>
            <w:noWrap/>
            <w:hideMark/>
          </w:tcPr>
          <w:p w14:paraId="33089FB0" w14:textId="77777777" w:rsidR="00103C35" w:rsidRPr="00286871" w:rsidRDefault="00103C35" w:rsidP="00103C35">
            <w:pPr>
              <w:spacing w:after="0"/>
              <w:jc w:val="right"/>
              <w:rPr>
                <w:rFonts w:cs="Arial"/>
              </w:rPr>
            </w:pPr>
            <w:r w:rsidRPr="00F3768B">
              <w:t>1,400</w:t>
            </w:r>
          </w:p>
        </w:tc>
        <w:tc>
          <w:tcPr>
            <w:tcW w:w="1012" w:type="dxa"/>
            <w:tcBorders>
              <w:top w:val="single" w:sz="8" w:space="0" w:color="auto"/>
              <w:left w:val="nil"/>
              <w:bottom w:val="single" w:sz="4" w:space="0" w:color="auto"/>
              <w:right w:val="single" w:sz="4" w:space="0" w:color="auto"/>
            </w:tcBorders>
            <w:shd w:val="clear" w:color="auto" w:fill="FFE599" w:themeFill="accent4" w:themeFillTint="66"/>
            <w:noWrap/>
            <w:hideMark/>
          </w:tcPr>
          <w:p w14:paraId="6CE2E552" w14:textId="77777777" w:rsidR="00103C35" w:rsidRPr="00286871" w:rsidRDefault="00103C35" w:rsidP="00103C35">
            <w:pPr>
              <w:spacing w:after="0"/>
              <w:jc w:val="right"/>
              <w:rPr>
                <w:rFonts w:cs="Arial"/>
              </w:rPr>
            </w:pPr>
            <w:r w:rsidRPr="00F3768B">
              <w:t>2,400</w:t>
            </w:r>
          </w:p>
        </w:tc>
        <w:tc>
          <w:tcPr>
            <w:tcW w:w="1012" w:type="dxa"/>
            <w:tcBorders>
              <w:top w:val="single" w:sz="8" w:space="0" w:color="auto"/>
              <w:left w:val="nil"/>
              <w:bottom w:val="single" w:sz="4" w:space="0" w:color="auto"/>
              <w:right w:val="single" w:sz="8" w:space="0" w:color="auto"/>
            </w:tcBorders>
            <w:shd w:val="clear" w:color="auto" w:fill="D9D9D9" w:themeFill="background1" w:themeFillShade="D9"/>
            <w:noWrap/>
            <w:hideMark/>
          </w:tcPr>
          <w:p w14:paraId="57847871" w14:textId="77777777" w:rsidR="00103C35" w:rsidRPr="00286871" w:rsidRDefault="00103C35" w:rsidP="00103C35">
            <w:pPr>
              <w:spacing w:after="0"/>
              <w:jc w:val="right"/>
              <w:rPr>
                <w:rFonts w:cs="Arial"/>
              </w:rPr>
            </w:pPr>
            <w:r w:rsidRPr="00F3768B">
              <w:t>3,400</w:t>
            </w:r>
          </w:p>
        </w:tc>
      </w:tr>
      <w:tr w:rsidR="00103C35" w:rsidRPr="00286871" w14:paraId="07929299" w14:textId="77777777" w:rsidTr="00225520">
        <w:trPr>
          <w:trHeight w:val="285"/>
        </w:trPr>
        <w:tc>
          <w:tcPr>
            <w:tcW w:w="4724"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FD173E4" w14:textId="77777777" w:rsidR="00103C35" w:rsidRPr="00286871" w:rsidRDefault="00103C35" w:rsidP="00103C35">
            <w:pPr>
              <w:spacing w:after="0"/>
              <w:rPr>
                <w:rFonts w:cs="Arial"/>
                <w:color w:val="000000"/>
              </w:rPr>
            </w:pPr>
            <w:r w:rsidRPr="00286871">
              <w:rPr>
                <w:rFonts w:cs="Arial"/>
                <w:color w:val="000000"/>
              </w:rPr>
              <w:t>Estimated Reduced DCLG from IDeA to LGA</w:t>
            </w:r>
          </w:p>
        </w:tc>
        <w:tc>
          <w:tcPr>
            <w:tcW w:w="1012" w:type="dxa"/>
            <w:tcBorders>
              <w:top w:val="nil"/>
              <w:left w:val="nil"/>
              <w:bottom w:val="single" w:sz="4" w:space="0" w:color="auto"/>
              <w:right w:val="single" w:sz="4" w:space="0" w:color="auto"/>
            </w:tcBorders>
            <w:shd w:val="clear" w:color="auto" w:fill="D9D9D9" w:themeFill="background1" w:themeFillShade="D9"/>
            <w:noWrap/>
            <w:hideMark/>
          </w:tcPr>
          <w:p w14:paraId="5157D58F" w14:textId="77777777" w:rsidR="00103C35" w:rsidRPr="00286871" w:rsidRDefault="00103C35" w:rsidP="00103C35">
            <w:pPr>
              <w:spacing w:after="0"/>
              <w:jc w:val="right"/>
              <w:rPr>
                <w:rFonts w:cs="Arial"/>
              </w:rPr>
            </w:pPr>
            <w:r w:rsidRPr="00F3768B">
              <w:t>(111)</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31A89FCC" w14:textId="77777777" w:rsidR="00103C35" w:rsidRPr="00286871" w:rsidRDefault="00103C35" w:rsidP="00103C35">
            <w:pPr>
              <w:spacing w:after="0"/>
              <w:jc w:val="right"/>
              <w:rPr>
                <w:rFonts w:cs="Arial"/>
              </w:rPr>
            </w:pPr>
            <w:r w:rsidRPr="00F3768B">
              <w:t>(191)</w:t>
            </w:r>
          </w:p>
        </w:tc>
        <w:tc>
          <w:tcPr>
            <w:tcW w:w="1012" w:type="dxa"/>
            <w:tcBorders>
              <w:top w:val="nil"/>
              <w:left w:val="nil"/>
              <w:bottom w:val="single" w:sz="4" w:space="0" w:color="auto"/>
              <w:right w:val="single" w:sz="8" w:space="0" w:color="auto"/>
            </w:tcBorders>
            <w:shd w:val="clear" w:color="auto" w:fill="D9D9D9" w:themeFill="background1" w:themeFillShade="D9"/>
            <w:noWrap/>
            <w:hideMark/>
          </w:tcPr>
          <w:p w14:paraId="2D072E93" w14:textId="77777777" w:rsidR="00103C35" w:rsidRPr="00286871" w:rsidRDefault="00103C35" w:rsidP="00103C35">
            <w:pPr>
              <w:spacing w:after="0"/>
              <w:jc w:val="right"/>
              <w:rPr>
                <w:rFonts w:cs="Arial"/>
              </w:rPr>
            </w:pPr>
            <w:r w:rsidRPr="00F3768B">
              <w:t>(270)</w:t>
            </w:r>
          </w:p>
        </w:tc>
      </w:tr>
      <w:tr w:rsidR="00103C35" w:rsidRPr="00286871" w14:paraId="08834D35" w14:textId="77777777" w:rsidTr="00225520">
        <w:trPr>
          <w:trHeight w:val="570"/>
        </w:trPr>
        <w:tc>
          <w:tcPr>
            <w:tcW w:w="4724"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D0EBF37" w14:textId="77777777" w:rsidR="00103C35" w:rsidRPr="00286871" w:rsidRDefault="00103C35" w:rsidP="00103C35">
            <w:pPr>
              <w:spacing w:after="0"/>
              <w:rPr>
                <w:rFonts w:cs="Arial"/>
                <w:color w:val="000000"/>
              </w:rPr>
            </w:pPr>
            <w:r w:rsidRPr="00286871">
              <w:rPr>
                <w:rFonts w:cs="Arial"/>
                <w:color w:val="000000"/>
              </w:rPr>
              <w:t>Estimated Reduced DCLG from IDeA to CFPS and Local Partnerships</w:t>
            </w:r>
          </w:p>
        </w:tc>
        <w:tc>
          <w:tcPr>
            <w:tcW w:w="1012" w:type="dxa"/>
            <w:tcBorders>
              <w:top w:val="nil"/>
              <w:left w:val="nil"/>
              <w:bottom w:val="single" w:sz="4" w:space="0" w:color="auto"/>
              <w:right w:val="single" w:sz="4" w:space="0" w:color="auto"/>
            </w:tcBorders>
            <w:shd w:val="clear" w:color="auto" w:fill="D9D9D9" w:themeFill="background1" w:themeFillShade="D9"/>
            <w:noWrap/>
            <w:hideMark/>
          </w:tcPr>
          <w:p w14:paraId="59CA6D55" w14:textId="77777777" w:rsidR="00103C35" w:rsidRPr="00286871" w:rsidRDefault="00103C35" w:rsidP="00103C35">
            <w:pPr>
              <w:spacing w:after="0"/>
              <w:jc w:val="right"/>
              <w:rPr>
                <w:rFonts w:cs="Arial"/>
              </w:rPr>
            </w:pPr>
            <w:r w:rsidRPr="00F3768B">
              <w:t>(92)</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45D1333D" w14:textId="77777777" w:rsidR="00103C35" w:rsidRPr="00286871" w:rsidRDefault="00103C35" w:rsidP="00103C35">
            <w:pPr>
              <w:spacing w:after="0"/>
              <w:jc w:val="right"/>
              <w:rPr>
                <w:rFonts w:cs="Arial"/>
              </w:rPr>
            </w:pPr>
            <w:r w:rsidRPr="00F3768B">
              <w:t>(157)</w:t>
            </w:r>
          </w:p>
        </w:tc>
        <w:tc>
          <w:tcPr>
            <w:tcW w:w="1012" w:type="dxa"/>
            <w:tcBorders>
              <w:top w:val="nil"/>
              <w:left w:val="nil"/>
              <w:bottom w:val="single" w:sz="4" w:space="0" w:color="auto"/>
              <w:right w:val="single" w:sz="8" w:space="0" w:color="auto"/>
            </w:tcBorders>
            <w:shd w:val="clear" w:color="auto" w:fill="D9D9D9" w:themeFill="background1" w:themeFillShade="D9"/>
            <w:noWrap/>
            <w:hideMark/>
          </w:tcPr>
          <w:p w14:paraId="05A79171" w14:textId="77777777" w:rsidR="00103C35" w:rsidRPr="00286871" w:rsidRDefault="00103C35" w:rsidP="00103C35">
            <w:pPr>
              <w:spacing w:after="0"/>
              <w:jc w:val="right"/>
              <w:rPr>
                <w:rFonts w:cs="Arial"/>
              </w:rPr>
            </w:pPr>
            <w:r w:rsidRPr="00F3768B">
              <w:t>(223)</w:t>
            </w:r>
          </w:p>
        </w:tc>
      </w:tr>
      <w:tr w:rsidR="00103C35" w:rsidRPr="00286871" w14:paraId="3DB39EE3" w14:textId="77777777" w:rsidTr="00225520">
        <w:trPr>
          <w:trHeight w:val="585"/>
        </w:trPr>
        <w:tc>
          <w:tcPr>
            <w:tcW w:w="4724"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3035A3BA" w14:textId="77777777" w:rsidR="00103C35" w:rsidRPr="00286871" w:rsidRDefault="00103C35" w:rsidP="00103C35">
            <w:pPr>
              <w:spacing w:after="0"/>
              <w:rPr>
                <w:rFonts w:cs="Arial"/>
                <w:color w:val="000000"/>
              </w:rPr>
            </w:pPr>
            <w:r w:rsidRPr="00286871">
              <w:rPr>
                <w:rFonts w:cs="Arial"/>
                <w:color w:val="000000"/>
              </w:rPr>
              <w:t>Reduced Spending on DCLG Grant programmes</w:t>
            </w:r>
          </w:p>
        </w:tc>
        <w:tc>
          <w:tcPr>
            <w:tcW w:w="1012" w:type="dxa"/>
            <w:tcBorders>
              <w:top w:val="nil"/>
              <w:left w:val="nil"/>
              <w:bottom w:val="single" w:sz="8" w:space="0" w:color="auto"/>
              <w:right w:val="single" w:sz="4" w:space="0" w:color="auto"/>
            </w:tcBorders>
            <w:shd w:val="clear" w:color="auto" w:fill="D9D9D9" w:themeFill="background1" w:themeFillShade="D9"/>
            <w:noWrap/>
            <w:hideMark/>
          </w:tcPr>
          <w:p w14:paraId="14D6D643" w14:textId="77777777" w:rsidR="00103C35" w:rsidRPr="00286871" w:rsidRDefault="00103C35" w:rsidP="00103C35">
            <w:pPr>
              <w:spacing w:after="0"/>
              <w:jc w:val="right"/>
              <w:rPr>
                <w:rFonts w:cs="Arial"/>
              </w:rPr>
            </w:pPr>
            <w:r w:rsidRPr="00F3768B">
              <w:t>(1,197)</w:t>
            </w:r>
          </w:p>
        </w:tc>
        <w:tc>
          <w:tcPr>
            <w:tcW w:w="1012" w:type="dxa"/>
            <w:tcBorders>
              <w:top w:val="nil"/>
              <w:left w:val="nil"/>
              <w:bottom w:val="single" w:sz="8" w:space="0" w:color="auto"/>
              <w:right w:val="single" w:sz="4" w:space="0" w:color="auto"/>
            </w:tcBorders>
            <w:shd w:val="clear" w:color="auto" w:fill="FFE599" w:themeFill="accent4" w:themeFillTint="66"/>
            <w:noWrap/>
            <w:hideMark/>
          </w:tcPr>
          <w:p w14:paraId="10E68AF4" w14:textId="77777777" w:rsidR="00103C35" w:rsidRPr="00286871" w:rsidRDefault="00103C35" w:rsidP="00103C35">
            <w:pPr>
              <w:spacing w:after="0"/>
              <w:jc w:val="right"/>
              <w:rPr>
                <w:rFonts w:cs="Arial"/>
              </w:rPr>
            </w:pPr>
            <w:r w:rsidRPr="00F3768B">
              <w:t>(2,052)</w:t>
            </w:r>
          </w:p>
        </w:tc>
        <w:tc>
          <w:tcPr>
            <w:tcW w:w="1012" w:type="dxa"/>
            <w:tcBorders>
              <w:top w:val="nil"/>
              <w:left w:val="nil"/>
              <w:bottom w:val="single" w:sz="8" w:space="0" w:color="auto"/>
              <w:right w:val="single" w:sz="8" w:space="0" w:color="auto"/>
            </w:tcBorders>
            <w:shd w:val="clear" w:color="auto" w:fill="D9D9D9" w:themeFill="background1" w:themeFillShade="D9"/>
            <w:noWrap/>
            <w:hideMark/>
          </w:tcPr>
          <w:p w14:paraId="776D7879" w14:textId="77777777" w:rsidR="00103C35" w:rsidRPr="00286871" w:rsidRDefault="00103C35" w:rsidP="00103C35">
            <w:pPr>
              <w:spacing w:after="0"/>
              <w:jc w:val="right"/>
              <w:rPr>
                <w:rFonts w:cs="Arial"/>
              </w:rPr>
            </w:pPr>
            <w:r w:rsidRPr="00F3768B">
              <w:t>(2,907)</w:t>
            </w:r>
          </w:p>
        </w:tc>
      </w:tr>
      <w:tr w:rsidR="00103C35" w:rsidRPr="00286871" w14:paraId="7F8D1E62"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2EE337B8" w14:textId="77777777" w:rsidR="00103C35" w:rsidRPr="00286871" w:rsidRDefault="00103C35" w:rsidP="00103C35">
            <w:pPr>
              <w:spacing w:after="0"/>
              <w:rPr>
                <w:rFonts w:cs="Arial"/>
                <w:color w:val="000000"/>
              </w:rPr>
            </w:pPr>
            <w:r w:rsidRPr="00286871">
              <w:rPr>
                <w:rFonts w:cs="Arial"/>
                <w:color w:val="000000"/>
              </w:rPr>
              <w:t>Reduced Income from Treasury Investments</w:t>
            </w:r>
          </w:p>
        </w:tc>
        <w:tc>
          <w:tcPr>
            <w:tcW w:w="1012" w:type="dxa"/>
            <w:tcBorders>
              <w:top w:val="nil"/>
              <w:left w:val="nil"/>
              <w:bottom w:val="single" w:sz="4" w:space="0" w:color="auto"/>
              <w:right w:val="single" w:sz="4" w:space="0" w:color="auto"/>
            </w:tcBorders>
            <w:shd w:val="clear" w:color="auto" w:fill="auto"/>
            <w:noWrap/>
            <w:hideMark/>
          </w:tcPr>
          <w:p w14:paraId="5DDD4BBC" w14:textId="77777777" w:rsidR="00103C35" w:rsidRPr="00286871" w:rsidRDefault="00103C35" w:rsidP="00103C35">
            <w:pPr>
              <w:spacing w:after="0"/>
              <w:jc w:val="right"/>
              <w:rPr>
                <w:rFonts w:cs="Arial"/>
              </w:rPr>
            </w:pPr>
            <w:r w:rsidRPr="00F3768B">
              <w:t>57</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0DAF467D" w14:textId="77777777" w:rsidR="00103C35" w:rsidRPr="00286871" w:rsidRDefault="00103C35" w:rsidP="00103C35">
            <w:pPr>
              <w:spacing w:after="0"/>
              <w:jc w:val="right"/>
              <w:rPr>
                <w:rFonts w:cs="Arial"/>
              </w:rPr>
            </w:pPr>
            <w:r w:rsidRPr="00F3768B">
              <w:t>57</w:t>
            </w:r>
          </w:p>
        </w:tc>
        <w:tc>
          <w:tcPr>
            <w:tcW w:w="1012" w:type="dxa"/>
            <w:tcBorders>
              <w:top w:val="nil"/>
              <w:left w:val="nil"/>
              <w:bottom w:val="single" w:sz="4" w:space="0" w:color="auto"/>
              <w:right w:val="single" w:sz="4" w:space="0" w:color="auto"/>
            </w:tcBorders>
            <w:shd w:val="clear" w:color="auto" w:fill="auto"/>
            <w:noWrap/>
            <w:hideMark/>
          </w:tcPr>
          <w:p w14:paraId="182FDF10" w14:textId="77777777" w:rsidR="00103C35" w:rsidRPr="00286871" w:rsidRDefault="00103C35" w:rsidP="00103C35">
            <w:pPr>
              <w:spacing w:after="0"/>
              <w:jc w:val="right"/>
              <w:rPr>
                <w:rFonts w:cs="Arial"/>
              </w:rPr>
            </w:pPr>
            <w:r w:rsidRPr="00F3768B">
              <w:t>57</w:t>
            </w:r>
          </w:p>
        </w:tc>
      </w:tr>
      <w:tr w:rsidR="00103C35" w:rsidRPr="00286871" w14:paraId="09D96F4D" w14:textId="77777777" w:rsidTr="00225520">
        <w:trPr>
          <w:trHeight w:val="57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63D390EF" w14:textId="77777777" w:rsidR="00103C35" w:rsidRPr="00286871" w:rsidRDefault="00103C35" w:rsidP="00103C35">
            <w:pPr>
              <w:spacing w:after="0"/>
              <w:rPr>
                <w:rFonts w:cs="Arial"/>
                <w:color w:val="000000"/>
              </w:rPr>
            </w:pPr>
            <w:r w:rsidRPr="00286871">
              <w:rPr>
                <w:rFonts w:cs="Arial"/>
                <w:color w:val="000000"/>
              </w:rPr>
              <w:t>Additional Internal Income from investing in Group property developments.</w:t>
            </w:r>
          </w:p>
        </w:tc>
        <w:tc>
          <w:tcPr>
            <w:tcW w:w="1012" w:type="dxa"/>
            <w:tcBorders>
              <w:top w:val="nil"/>
              <w:left w:val="nil"/>
              <w:bottom w:val="single" w:sz="4" w:space="0" w:color="auto"/>
              <w:right w:val="single" w:sz="4" w:space="0" w:color="auto"/>
            </w:tcBorders>
            <w:shd w:val="clear" w:color="auto" w:fill="auto"/>
            <w:noWrap/>
            <w:hideMark/>
          </w:tcPr>
          <w:p w14:paraId="466BFA10" w14:textId="77777777" w:rsidR="00103C35" w:rsidRPr="00286871" w:rsidRDefault="00103C35" w:rsidP="00103C35">
            <w:pPr>
              <w:spacing w:after="0"/>
              <w:jc w:val="right"/>
              <w:rPr>
                <w:rFonts w:cs="Arial"/>
              </w:rPr>
            </w:pPr>
            <w:r w:rsidRPr="00F3768B">
              <w:t>(378)</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37651E77" w14:textId="77777777" w:rsidR="00103C35" w:rsidRPr="00286871" w:rsidRDefault="00103C35" w:rsidP="00103C35">
            <w:pPr>
              <w:spacing w:after="0"/>
              <w:jc w:val="right"/>
              <w:rPr>
                <w:rFonts w:cs="Arial"/>
              </w:rPr>
            </w:pPr>
            <w:r w:rsidRPr="00F3768B">
              <w:t>(378)</w:t>
            </w:r>
          </w:p>
        </w:tc>
        <w:tc>
          <w:tcPr>
            <w:tcW w:w="1012" w:type="dxa"/>
            <w:tcBorders>
              <w:top w:val="nil"/>
              <w:left w:val="nil"/>
              <w:bottom w:val="single" w:sz="4" w:space="0" w:color="auto"/>
              <w:right w:val="single" w:sz="4" w:space="0" w:color="auto"/>
            </w:tcBorders>
            <w:shd w:val="clear" w:color="auto" w:fill="auto"/>
            <w:noWrap/>
            <w:hideMark/>
          </w:tcPr>
          <w:p w14:paraId="3D4E8F3A" w14:textId="77777777" w:rsidR="00103C35" w:rsidRPr="00286871" w:rsidRDefault="00103C35" w:rsidP="00103C35">
            <w:pPr>
              <w:spacing w:after="0"/>
              <w:jc w:val="right"/>
              <w:rPr>
                <w:rFonts w:cs="Arial"/>
              </w:rPr>
            </w:pPr>
            <w:r w:rsidRPr="00F3768B">
              <w:t>(379)</w:t>
            </w:r>
          </w:p>
        </w:tc>
      </w:tr>
      <w:tr w:rsidR="00103C35" w:rsidRPr="00286871" w14:paraId="28327EBD"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758F9E88" w14:textId="77777777" w:rsidR="00103C35" w:rsidRPr="00286871" w:rsidRDefault="00103C35" w:rsidP="00103C35">
            <w:pPr>
              <w:spacing w:after="0"/>
              <w:rPr>
                <w:rFonts w:cs="Arial"/>
                <w:color w:val="000000"/>
              </w:rPr>
            </w:pPr>
            <w:r w:rsidRPr="00286871">
              <w:rPr>
                <w:rFonts w:cs="Arial"/>
                <w:color w:val="000000"/>
              </w:rPr>
              <w:t>Intercompany Tenants rent</w:t>
            </w:r>
          </w:p>
        </w:tc>
        <w:tc>
          <w:tcPr>
            <w:tcW w:w="1012" w:type="dxa"/>
            <w:tcBorders>
              <w:top w:val="nil"/>
              <w:left w:val="nil"/>
              <w:bottom w:val="single" w:sz="4" w:space="0" w:color="auto"/>
              <w:right w:val="single" w:sz="4" w:space="0" w:color="auto"/>
            </w:tcBorders>
            <w:shd w:val="clear" w:color="auto" w:fill="auto"/>
            <w:noWrap/>
            <w:hideMark/>
          </w:tcPr>
          <w:p w14:paraId="21C1C523" w14:textId="77777777" w:rsidR="00103C35" w:rsidRPr="00286871" w:rsidRDefault="00103C35" w:rsidP="00103C35">
            <w:pPr>
              <w:spacing w:after="0"/>
              <w:jc w:val="right"/>
              <w:rPr>
                <w:rFonts w:cs="Arial"/>
              </w:rPr>
            </w:pPr>
            <w:r w:rsidRPr="00F3768B">
              <w:t>269</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21B4A1C3" w14:textId="77777777" w:rsidR="00103C35" w:rsidRPr="00286871" w:rsidRDefault="00103C35" w:rsidP="00103C35">
            <w:pPr>
              <w:spacing w:after="0"/>
              <w:jc w:val="right"/>
              <w:rPr>
                <w:rFonts w:cs="Arial"/>
              </w:rPr>
            </w:pPr>
            <w:r w:rsidRPr="00F3768B">
              <w:t>475</w:t>
            </w:r>
          </w:p>
        </w:tc>
        <w:tc>
          <w:tcPr>
            <w:tcW w:w="1012" w:type="dxa"/>
            <w:tcBorders>
              <w:top w:val="nil"/>
              <w:left w:val="nil"/>
              <w:bottom w:val="single" w:sz="4" w:space="0" w:color="auto"/>
              <w:right w:val="single" w:sz="4" w:space="0" w:color="auto"/>
            </w:tcBorders>
            <w:shd w:val="clear" w:color="auto" w:fill="auto"/>
            <w:noWrap/>
            <w:hideMark/>
          </w:tcPr>
          <w:p w14:paraId="29AE8BB6" w14:textId="77777777" w:rsidR="00103C35" w:rsidRPr="00286871" w:rsidRDefault="00103C35" w:rsidP="00103C35">
            <w:pPr>
              <w:spacing w:after="0"/>
              <w:jc w:val="right"/>
              <w:rPr>
                <w:rFonts w:cs="Arial"/>
              </w:rPr>
            </w:pPr>
            <w:r w:rsidRPr="00F3768B">
              <w:t>475</w:t>
            </w:r>
          </w:p>
        </w:tc>
      </w:tr>
      <w:tr w:rsidR="00103C35" w:rsidRPr="00286871" w14:paraId="64BC67CA" w14:textId="77777777" w:rsidTr="00225520">
        <w:trPr>
          <w:trHeight w:val="285"/>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3434E649" w14:textId="77777777" w:rsidR="00103C35" w:rsidRPr="00286871" w:rsidRDefault="00103C35" w:rsidP="00103C35">
            <w:pPr>
              <w:spacing w:after="0"/>
              <w:rPr>
                <w:rFonts w:cs="Arial"/>
                <w:color w:val="000000"/>
              </w:rPr>
            </w:pPr>
            <w:r w:rsidRPr="00286871">
              <w:rPr>
                <w:rFonts w:cs="Arial"/>
                <w:color w:val="000000"/>
              </w:rPr>
              <w:t>Other budget adjustments</w:t>
            </w:r>
          </w:p>
        </w:tc>
        <w:tc>
          <w:tcPr>
            <w:tcW w:w="1012" w:type="dxa"/>
            <w:tcBorders>
              <w:top w:val="nil"/>
              <w:left w:val="nil"/>
              <w:bottom w:val="single" w:sz="4" w:space="0" w:color="auto"/>
              <w:right w:val="single" w:sz="4" w:space="0" w:color="auto"/>
            </w:tcBorders>
            <w:shd w:val="clear" w:color="auto" w:fill="auto"/>
            <w:noWrap/>
            <w:hideMark/>
          </w:tcPr>
          <w:p w14:paraId="6C735F40" w14:textId="77777777" w:rsidR="00103C35" w:rsidRPr="00286871" w:rsidRDefault="00103C35" w:rsidP="00103C35">
            <w:pPr>
              <w:spacing w:after="0"/>
              <w:jc w:val="right"/>
              <w:rPr>
                <w:rFonts w:cs="Arial"/>
              </w:rPr>
            </w:pPr>
            <w:r w:rsidRPr="00F3768B">
              <w:t>(188)</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211A0733" w14:textId="77777777" w:rsidR="00103C35" w:rsidRPr="00286871" w:rsidRDefault="00103C35" w:rsidP="00103C35">
            <w:pPr>
              <w:spacing w:after="0"/>
              <w:jc w:val="right"/>
              <w:rPr>
                <w:rFonts w:cs="Arial"/>
              </w:rPr>
            </w:pPr>
            <w:r w:rsidRPr="00F3768B">
              <w:t>(36)</w:t>
            </w:r>
          </w:p>
        </w:tc>
        <w:tc>
          <w:tcPr>
            <w:tcW w:w="1012" w:type="dxa"/>
            <w:tcBorders>
              <w:top w:val="nil"/>
              <w:left w:val="nil"/>
              <w:bottom w:val="single" w:sz="4" w:space="0" w:color="auto"/>
              <w:right w:val="single" w:sz="4" w:space="0" w:color="auto"/>
            </w:tcBorders>
            <w:shd w:val="clear" w:color="auto" w:fill="auto"/>
            <w:noWrap/>
            <w:hideMark/>
          </w:tcPr>
          <w:p w14:paraId="7E92E732" w14:textId="77777777" w:rsidR="00103C35" w:rsidRPr="00286871" w:rsidRDefault="00103C35" w:rsidP="00103C35">
            <w:pPr>
              <w:spacing w:after="0"/>
              <w:jc w:val="right"/>
              <w:rPr>
                <w:rFonts w:cs="Arial"/>
              </w:rPr>
            </w:pPr>
            <w:r w:rsidRPr="00F3768B">
              <w:t>121</w:t>
            </w:r>
          </w:p>
        </w:tc>
      </w:tr>
      <w:tr w:rsidR="00103C35" w:rsidRPr="00286871" w14:paraId="15EF9A9B" w14:textId="77777777" w:rsidTr="00225520">
        <w:trPr>
          <w:trHeight w:val="30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2AE6AFB0" w14:textId="77777777" w:rsidR="00103C35" w:rsidRPr="00286871" w:rsidRDefault="00103C35" w:rsidP="00103C35">
            <w:pPr>
              <w:spacing w:after="0"/>
              <w:rPr>
                <w:rFonts w:cs="Arial"/>
                <w:b/>
                <w:bCs/>
                <w:color w:val="000000"/>
              </w:rPr>
            </w:pPr>
            <w:r w:rsidRPr="00286871">
              <w:rPr>
                <w:rFonts w:cs="Arial"/>
                <w:b/>
                <w:bCs/>
                <w:color w:val="000000"/>
              </w:rPr>
              <w:t>Net budget pressure or (opportunity)</w:t>
            </w:r>
          </w:p>
        </w:tc>
        <w:tc>
          <w:tcPr>
            <w:tcW w:w="1012" w:type="dxa"/>
            <w:tcBorders>
              <w:top w:val="nil"/>
              <w:left w:val="nil"/>
              <w:bottom w:val="single" w:sz="4" w:space="0" w:color="auto"/>
              <w:right w:val="single" w:sz="4" w:space="0" w:color="auto"/>
            </w:tcBorders>
            <w:shd w:val="clear" w:color="auto" w:fill="auto"/>
            <w:noWrap/>
            <w:hideMark/>
          </w:tcPr>
          <w:p w14:paraId="6EEEBDB7" w14:textId="77777777" w:rsidR="00103C35" w:rsidRPr="0087317E" w:rsidRDefault="00103C35" w:rsidP="00103C35">
            <w:pPr>
              <w:spacing w:after="0"/>
              <w:jc w:val="right"/>
              <w:rPr>
                <w:rFonts w:cs="Arial"/>
                <w:b/>
                <w:bCs/>
              </w:rPr>
            </w:pPr>
            <w:r w:rsidRPr="0087317E">
              <w:rPr>
                <w:b/>
              </w:rPr>
              <w:t>(94)</w:t>
            </w:r>
          </w:p>
        </w:tc>
        <w:tc>
          <w:tcPr>
            <w:tcW w:w="1012" w:type="dxa"/>
            <w:tcBorders>
              <w:top w:val="nil"/>
              <w:left w:val="nil"/>
              <w:bottom w:val="single" w:sz="4" w:space="0" w:color="auto"/>
              <w:right w:val="single" w:sz="4" w:space="0" w:color="auto"/>
            </w:tcBorders>
            <w:shd w:val="clear" w:color="auto" w:fill="FFE599" w:themeFill="accent4" w:themeFillTint="66"/>
            <w:noWrap/>
            <w:hideMark/>
          </w:tcPr>
          <w:p w14:paraId="57F0F9F5" w14:textId="77777777" w:rsidR="00103C35" w:rsidRPr="0087317E" w:rsidRDefault="00103C35" w:rsidP="00103C35">
            <w:pPr>
              <w:spacing w:after="0"/>
              <w:jc w:val="right"/>
              <w:rPr>
                <w:rFonts w:cs="Arial"/>
                <w:b/>
                <w:bCs/>
              </w:rPr>
            </w:pPr>
            <w:r w:rsidRPr="0087317E">
              <w:rPr>
                <w:b/>
              </w:rPr>
              <w:t>241</w:t>
            </w:r>
          </w:p>
        </w:tc>
        <w:tc>
          <w:tcPr>
            <w:tcW w:w="1012" w:type="dxa"/>
            <w:tcBorders>
              <w:top w:val="nil"/>
              <w:left w:val="nil"/>
              <w:bottom w:val="single" w:sz="4" w:space="0" w:color="auto"/>
              <w:right w:val="single" w:sz="4" w:space="0" w:color="auto"/>
            </w:tcBorders>
            <w:shd w:val="clear" w:color="auto" w:fill="auto"/>
            <w:noWrap/>
            <w:hideMark/>
          </w:tcPr>
          <w:p w14:paraId="52B21C2C" w14:textId="77777777" w:rsidR="00103C35" w:rsidRPr="0087317E" w:rsidRDefault="00103C35" w:rsidP="00103C35">
            <w:pPr>
              <w:spacing w:after="0"/>
              <w:jc w:val="right"/>
              <w:rPr>
                <w:rFonts w:cs="Arial"/>
                <w:b/>
                <w:bCs/>
              </w:rPr>
            </w:pPr>
            <w:r w:rsidRPr="0087317E">
              <w:rPr>
                <w:b/>
              </w:rPr>
              <w:t>631</w:t>
            </w:r>
          </w:p>
        </w:tc>
      </w:tr>
    </w:tbl>
    <w:p w14:paraId="23D8BF92" w14:textId="77777777" w:rsidR="00B42A88" w:rsidRDefault="00B42A88" w:rsidP="00103C35">
      <w:pPr>
        <w:pStyle w:val="MainText"/>
        <w:spacing w:after="0" w:line="240" w:lineRule="auto"/>
        <w:rPr>
          <w:rFonts w:eastAsiaTheme="minorHAnsi" w:cstheme="minorBidi"/>
          <w:szCs w:val="22"/>
          <w:lang w:eastAsia="en-US"/>
        </w:rPr>
      </w:pPr>
    </w:p>
    <w:p w14:paraId="623FB000" w14:textId="6D27C3B4" w:rsidR="00103C35" w:rsidRPr="000B4659" w:rsidRDefault="00103C35" w:rsidP="00103C35">
      <w:pPr>
        <w:pStyle w:val="MainText"/>
        <w:spacing w:after="0" w:line="240" w:lineRule="auto"/>
        <w:rPr>
          <w:b/>
        </w:rPr>
      </w:pPr>
      <w:r w:rsidRPr="000B4659">
        <w:rPr>
          <w:b/>
        </w:rPr>
        <w:t>Risks and Opportunities</w:t>
      </w:r>
    </w:p>
    <w:p w14:paraId="404FE018" w14:textId="77777777" w:rsidR="00103C35" w:rsidRDefault="00103C35" w:rsidP="00103C35">
      <w:pPr>
        <w:spacing w:after="120" w:line="240" w:lineRule="auto"/>
        <w:ind w:left="360" w:hanging="360"/>
      </w:pPr>
      <w:r>
        <w:t>The main risks for IDeA are:</w:t>
      </w:r>
    </w:p>
    <w:p w14:paraId="5354C85E" w14:textId="77777777" w:rsidR="00103C35" w:rsidRDefault="00103C35" w:rsidP="00103C35">
      <w:pPr>
        <w:pStyle w:val="ListParagraph"/>
        <w:numPr>
          <w:ilvl w:val="1"/>
          <w:numId w:val="12"/>
        </w:numPr>
        <w:spacing w:after="120" w:line="240" w:lineRule="auto"/>
        <w:contextualSpacing w:val="0"/>
      </w:pPr>
      <w:r>
        <w:t>A higher reduction in DCLG / Direct Government funding; and</w:t>
      </w:r>
    </w:p>
    <w:p w14:paraId="76979B35" w14:textId="77777777" w:rsidR="00103C35" w:rsidRDefault="00103C35" w:rsidP="00103C35">
      <w:pPr>
        <w:pStyle w:val="ListParagraph"/>
        <w:numPr>
          <w:ilvl w:val="1"/>
          <w:numId w:val="12"/>
        </w:numPr>
        <w:spacing w:after="120" w:line="240" w:lineRule="auto"/>
        <w:contextualSpacing w:val="0"/>
      </w:pPr>
      <w:r>
        <w:t>Inability to generate additional commercial income to replace Government funding.</w:t>
      </w:r>
    </w:p>
    <w:p w14:paraId="312A3106" w14:textId="77777777" w:rsidR="00103C35" w:rsidRPr="00225520" w:rsidRDefault="00225520" w:rsidP="00B42A88">
      <w:pPr>
        <w:ind w:left="0" w:firstLine="0"/>
        <w:rPr>
          <w:b/>
        </w:rPr>
      </w:pPr>
      <w:r w:rsidRPr="00225520">
        <w:rPr>
          <w:b/>
        </w:rPr>
        <w:lastRenderedPageBreak/>
        <w:t>APPENDIX D – Budget Delegation Letter Template</w:t>
      </w:r>
      <w:r w:rsidR="008C7815">
        <w:rPr>
          <w:b/>
        </w:rPr>
        <w:t xml:space="preserve"> (Draft)</w:t>
      </w:r>
    </w:p>
    <w:p w14:paraId="3AA774E4" w14:textId="77777777" w:rsidR="008C7815" w:rsidRDefault="008C7815"/>
    <w:p w14:paraId="31A8C602" w14:textId="6F68957D" w:rsidR="008C7815" w:rsidRDefault="008C7815" w:rsidP="00B42A88">
      <w:pPr>
        <w:rPr>
          <w:rFonts w:cs="Arial"/>
        </w:rPr>
      </w:pPr>
      <w:r>
        <w:rPr>
          <w:rFonts w:cs="Arial"/>
          <w:b/>
          <w:bCs/>
        </w:rPr>
        <w:t>2018/19 Budget Delegation</w:t>
      </w:r>
    </w:p>
    <w:p w14:paraId="31AC8DF7" w14:textId="046BD1B8" w:rsidR="008C7815" w:rsidRDefault="008C7815" w:rsidP="00B42A88">
      <w:pPr>
        <w:ind w:left="0" w:firstLine="0"/>
        <w:jc w:val="both"/>
        <w:rPr>
          <w:rFonts w:cs="Arial"/>
        </w:rPr>
      </w:pPr>
      <w:r>
        <w:rPr>
          <w:rFonts w:cs="Arial"/>
        </w:rPr>
        <w:t>As you are aware, the LGA Group operates a system of budgetary control over</w:t>
      </w:r>
      <w:r w:rsidR="00F27F41">
        <w:rPr>
          <w:rFonts w:cs="Arial"/>
        </w:rPr>
        <w:t xml:space="preserve"> income and</w:t>
      </w:r>
      <w:r>
        <w:rPr>
          <w:rFonts w:cs="Arial"/>
        </w:rPr>
        <w:t xml:space="preserve"> expenditure.</w:t>
      </w:r>
    </w:p>
    <w:p w14:paraId="78432BFF" w14:textId="22D7180A" w:rsidR="008C7815" w:rsidRDefault="008C7815" w:rsidP="00B42A88">
      <w:pPr>
        <w:ind w:left="0" w:firstLine="0"/>
        <w:jc w:val="both"/>
        <w:rPr>
          <w:rFonts w:cs="Arial"/>
        </w:rPr>
      </w:pPr>
      <w:r>
        <w:rPr>
          <w:rFonts w:cs="Arial"/>
        </w:rPr>
        <w:t xml:space="preserve">This email delegates to you responsibility for the management of </w:t>
      </w:r>
      <w:r w:rsidR="00F27F41">
        <w:rPr>
          <w:rFonts w:cs="Arial"/>
        </w:rPr>
        <w:t xml:space="preserve">income and </w:t>
      </w:r>
      <w:r>
        <w:rPr>
          <w:rFonts w:cs="Arial"/>
        </w:rPr>
        <w:t>expenditure for the cost centres you manage. Your delegated authorities for the new financial year are detailed in the attachment, and comprise</w:t>
      </w:r>
      <w:r w:rsidR="000004D9">
        <w:rPr>
          <w:rFonts w:cs="Arial"/>
        </w:rPr>
        <w:t>s</w:t>
      </w:r>
      <w:r>
        <w:rPr>
          <w:rFonts w:cs="Arial"/>
        </w:rPr>
        <w:t xml:space="preserve"> a monetary budget for </w:t>
      </w:r>
      <w:r w:rsidR="000004D9">
        <w:rPr>
          <w:rFonts w:cs="Arial"/>
        </w:rPr>
        <w:t xml:space="preserve">income, employment costs and non-employment </w:t>
      </w:r>
      <w:r>
        <w:rPr>
          <w:rFonts w:cs="Arial"/>
        </w:rPr>
        <w:t>expenses and a Full Time Equivalent (FTE) budget for your team</w:t>
      </w:r>
      <w:r w:rsidR="000004D9">
        <w:rPr>
          <w:rFonts w:cs="Arial"/>
        </w:rPr>
        <w:t xml:space="preserve"> (with related approved Organisation Chart)</w:t>
      </w:r>
      <w:r>
        <w:rPr>
          <w:rFonts w:cs="Arial"/>
        </w:rPr>
        <w:t xml:space="preserve">.  </w:t>
      </w:r>
    </w:p>
    <w:p w14:paraId="2D4AA1D2" w14:textId="1377AE90" w:rsidR="008C7815" w:rsidRPr="00B42A88" w:rsidRDefault="008C7815" w:rsidP="00B42A88">
      <w:pPr>
        <w:ind w:left="0" w:firstLine="0"/>
        <w:jc w:val="both"/>
        <w:rPr>
          <w:rFonts w:cs="Arial"/>
        </w:rPr>
      </w:pPr>
      <w:r>
        <w:rPr>
          <w:rFonts w:cs="Arial"/>
        </w:rPr>
        <w:t>You have responsibility to manage within this budget, subject to your line manager’s overall discretion and the following governing policies and procedures:</w:t>
      </w:r>
    </w:p>
    <w:p w14:paraId="232EB6C7" w14:textId="77777777" w:rsidR="008C7815" w:rsidRDefault="008C7815" w:rsidP="008C7815">
      <w:pPr>
        <w:numPr>
          <w:ilvl w:val="0"/>
          <w:numId w:val="14"/>
        </w:numPr>
        <w:spacing w:after="0" w:line="240" w:lineRule="auto"/>
        <w:ind w:left="357" w:hanging="357"/>
        <w:jc w:val="both"/>
        <w:rPr>
          <w:rFonts w:cs="Arial"/>
        </w:rPr>
      </w:pPr>
      <w:r>
        <w:rPr>
          <w:rFonts w:cs="Arial"/>
        </w:rPr>
        <w:t>Finance Handbook (link attached)</w:t>
      </w:r>
    </w:p>
    <w:p w14:paraId="33BB1C52" w14:textId="094A9EE0" w:rsidR="008C7815" w:rsidRDefault="008C7815" w:rsidP="00B42A88">
      <w:pPr>
        <w:numPr>
          <w:ilvl w:val="0"/>
          <w:numId w:val="14"/>
        </w:numPr>
        <w:spacing w:after="0" w:line="240" w:lineRule="auto"/>
        <w:ind w:left="357" w:hanging="357"/>
        <w:jc w:val="both"/>
        <w:rPr>
          <w:rFonts w:cs="Arial"/>
        </w:rPr>
      </w:pPr>
      <w:r>
        <w:rPr>
          <w:rFonts w:cs="Arial"/>
        </w:rPr>
        <w:t>Scheme of Financial Delegation Policy (link attached)</w:t>
      </w:r>
    </w:p>
    <w:p w14:paraId="0EBDBC16" w14:textId="77777777" w:rsidR="00B42A88" w:rsidRPr="00B42A88" w:rsidRDefault="00B42A88" w:rsidP="00B42A88">
      <w:pPr>
        <w:spacing w:after="0" w:line="240" w:lineRule="auto"/>
        <w:ind w:firstLine="0"/>
        <w:jc w:val="both"/>
        <w:rPr>
          <w:rFonts w:cs="Arial"/>
        </w:rPr>
      </w:pPr>
    </w:p>
    <w:p w14:paraId="515044B7" w14:textId="3DCBC6E4" w:rsidR="008C7815" w:rsidRDefault="008C7815" w:rsidP="00B42A88">
      <w:pPr>
        <w:jc w:val="both"/>
        <w:rPr>
          <w:rFonts w:cs="Arial"/>
        </w:rPr>
      </w:pPr>
      <w:r>
        <w:rPr>
          <w:rFonts w:cs="Arial"/>
        </w:rPr>
        <w:t>Please note that these documents may be updated from time to time.</w:t>
      </w:r>
    </w:p>
    <w:p w14:paraId="4A7D2045" w14:textId="6B123088" w:rsidR="008C7815" w:rsidRPr="00B42A88" w:rsidRDefault="008C7815" w:rsidP="00B42A88">
      <w:pPr>
        <w:ind w:left="0" w:firstLine="0"/>
        <w:jc w:val="both"/>
        <w:rPr>
          <w:rFonts w:cs="Arial"/>
          <w:b/>
          <w:bCs/>
          <w:i/>
          <w:iCs/>
        </w:rPr>
      </w:pPr>
      <w:r>
        <w:rPr>
          <w:rFonts w:cs="Arial"/>
          <w:b/>
          <w:bCs/>
          <w:i/>
          <w:iCs/>
        </w:rPr>
        <w:t>It is open to you to sub-delegate your budgetary responsibilities to your direct reports if you wish to do so.  If you do wish to do that, you should send the colleagues concerned a formal e-mail setting out the budget and headcount you are delegating and drawing their attention to the associated policies and responsibilities.  You should also let your Finance contact know about the delegations in force.</w:t>
      </w:r>
    </w:p>
    <w:p w14:paraId="20C823E3" w14:textId="298BB698" w:rsidR="008C7815" w:rsidRPr="00B42A88" w:rsidRDefault="008C7815" w:rsidP="00B42A88">
      <w:pPr>
        <w:ind w:left="0" w:firstLine="0"/>
        <w:jc w:val="both"/>
        <w:rPr>
          <w:rFonts w:cs="Arial"/>
        </w:rPr>
      </w:pPr>
      <w:r>
        <w:rPr>
          <w:rFonts w:cs="Arial"/>
        </w:rPr>
        <w:t>To assist you in managing your budget responsibilities, your Finance contact will continue to provide you with regular variance reporting and analysis.</w:t>
      </w:r>
    </w:p>
    <w:p w14:paraId="4D920428" w14:textId="2E748526" w:rsidR="00B42A88" w:rsidRPr="00B42A88" w:rsidRDefault="008C7815" w:rsidP="00B42A88">
      <w:pPr>
        <w:ind w:left="0" w:firstLine="0"/>
        <w:jc w:val="both"/>
        <w:rPr>
          <w:rFonts w:cs="Arial"/>
        </w:rPr>
      </w:pPr>
      <w:r>
        <w:rPr>
          <w:rFonts w:cs="Arial"/>
        </w:rPr>
        <w:t>Please return this mail, copying in the Strategic Finance Manager, Jonathan Gratte, to acknowledge receipt and understanding of this budget delegation.</w:t>
      </w:r>
    </w:p>
    <w:p w14:paraId="4724CFE8" w14:textId="77777777" w:rsidR="00B42A88" w:rsidRDefault="00B42A88"/>
    <w:p w14:paraId="360AEA4A" w14:textId="77777777" w:rsidR="008C7815" w:rsidRDefault="008C7815">
      <w:r>
        <w:t>Sarah Pickup</w:t>
      </w:r>
    </w:p>
    <w:p w14:paraId="5BCAF15F" w14:textId="77777777" w:rsidR="00EE7AF0" w:rsidRDefault="008C7815" w:rsidP="008C7815">
      <w:pPr>
        <w:rPr>
          <w:b/>
        </w:rPr>
      </w:pPr>
      <w:r>
        <w:t>Deputy Chief Executive</w:t>
      </w:r>
      <w:bookmarkStart w:id="2" w:name="_GoBack"/>
      <w:bookmarkEnd w:id="2"/>
      <w:r w:rsidR="00EE7AF0">
        <w:rPr>
          <w:b/>
        </w:rPr>
        <w:br w:type="page"/>
      </w:r>
    </w:p>
    <w:p w14:paraId="139AB736" w14:textId="77777777" w:rsidR="00EE7AF0" w:rsidRPr="00EE7AF0" w:rsidRDefault="00EE7AF0">
      <w:pPr>
        <w:rPr>
          <w:b/>
        </w:rPr>
      </w:pPr>
      <w:r w:rsidRPr="00EE7AF0">
        <w:rPr>
          <w:b/>
        </w:rPr>
        <w:lastRenderedPageBreak/>
        <w:t>APPENDIX E – Draft Budget Holder Memo</w:t>
      </w:r>
      <w:r w:rsidR="00153B70">
        <w:rPr>
          <w:b/>
        </w:rPr>
        <w:t xml:space="preserve"> (highlighted references to be finalised)</w:t>
      </w:r>
    </w:p>
    <w:p w14:paraId="31734319" w14:textId="77777777" w:rsidR="00EE7AF0" w:rsidRPr="00DB0C41" w:rsidRDefault="00EE7AF0" w:rsidP="00EE7AF0">
      <w:pPr>
        <w:pStyle w:val="MainText"/>
        <w:spacing w:line="240" w:lineRule="auto"/>
        <w:rPr>
          <w:rFonts w:cs="Arial"/>
          <w:b/>
          <w:szCs w:val="22"/>
        </w:rPr>
      </w:pPr>
      <w:r w:rsidRPr="00DB0C41">
        <w:rPr>
          <w:rFonts w:cs="Arial"/>
          <w:b/>
          <w:szCs w:val="22"/>
        </w:rPr>
        <w:t>Draft Memo 201</w:t>
      </w:r>
      <w:r>
        <w:rPr>
          <w:rFonts w:cs="Arial"/>
          <w:b/>
          <w:szCs w:val="22"/>
        </w:rPr>
        <w:t xml:space="preserve">8/19 </w:t>
      </w:r>
      <w:r w:rsidRPr="00DB0C41">
        <w:rPr>
          <w:rFonts w:cs="Arial"/>
          <w:b/>
          <w:szCs w:val="22"/>
        </w:rPr>
        <w:t>to all Budget Holders</w:t>
      </w:r>
      <w:r>
        <w:rPr>
          <w:rFonts w:cs="Arial"/>
          <w:b/>
          <w:szCs w:val="22"/>
        </w:rPr>
        <w:t xml:space="preserve"> (to issue November 2017)</w:t>
      </w:r>
    </w:p>
    <w:p w14:paraId="2DE1DD91" w14:textId="77777777" w:rsidR="00EE7AF0" w:rsidRDefault="00EE7AF0" w:rsidP="00EE7AF0">
      <w:pPr>
        <w:pStyle w:val="MainText"/>
        <w:numPr>
          <w:ilvl w:val="0"/>
          <w:numId w:val="3"/>
        </w:numPr>
        <w:spacing w:line="240" w:lineRule="auto"/>
        <w:rPr>
          <w:rFonts w:cs="Arial"/>
          <w:szCs w:val="22"/>
        </w:rPr>
      </w:pPr>
      <w:r w:rsidRPr="001728BC">
        <w:rPr>
          <w:rFonts w:cs="Arial"/>
          <w:szCs w:val="22"/>
        </w:rPr>
        <w:t xml:space="preserve">In order to prepare the LGA’s budget for consideration by SMT prior to final agreement by the Leadership Board on </w:t>
      </w:r>
      <w:r>
        <w:rPr>
          <w:rFonts w:cs="Arial"/>
          <w:szCs w:val="22"/>
        </w:rPr>
        <w:t xml:space="preserve">Wednesday 7 </w:t>
      </w:r>
      <w:r w:rsidRPr="001728BC">
        <w:rPr>
          <w:rFonts w:cs="Arial"/>
          <w:szCs w:val="22"/>
        </w:rPr>
        <w:t>March</w:t>
      </w:r>
      <w:r>
        <w:rPr>
          <w:rFonts w:cs="Arial"/>
          <w:szCs w:val="22"/>
        </w:rPr>
        <w:t xml:space="preserve"> 2018</w:t>
      </w:r>
      <w:r w:rsidRPr="001728BC">
        <w:rPr>
          <w:rFonts w:cs="Arial"/>
          <w:szCs w:val="22"/>
        </w:rPr>
        <w:t xml:space="preserve">, </w:t>
      </w:r>
      <w:r>
        <w:rPr>
          <w:rFonts w:cs="Arial"/>
          <w:szCs w:val="22"/>
        </w:rPr>
        <w:t>SMT</w:t>
      </w:r>
      <w:r w:rsidRPr="001728BC">
        <w:rPr>
          <w:rFonts w:cs="Arial"/>
          <w:szCs w:val="22"/>
        </w:rPr>
        <w:t xml:space="preserve"> have agreed the following key dates:</w:t>
      </w:r>
      <w:r>
        <w:rPr>
          <w:rFonts w:cs="Arial"/>
          <w:szCs w:val="22"/>
        </w:rPr>
        <w:br/>
      </w:r>
    </w:p>
    <w:tbl>
      <w:tblPr>
        <w:tblW w:w="7371" w:type="dxa"/>
        <w:tblInd w:w="704" w:type="dxa"/>
        <w:tblLook w:val="04A0" w:firstRow="1" w:lastRow="0" w:firstColumn="1" w:lastColumn="0" w:noHBand="0" w:noVBand="1"/>
      </w:tblPr>
      <w:tblGrid>
        <w:gridCol w:w="5528"/>
        <w:gridCol w:w="1843"/>
      </w:tblGrid>
      <w:tr w:rsidR="00EE7AF0" w:rsidRPr="008607D0" w14:paraId="66828988" w14:textId="77777777" w:rsidTr="008C7815">
        <w:tc>
          <w:tcPr>
            <w:tcW w:w="5528" w:type="dxa"/>
            <w:tcBorders>
              <w:top w:val="single" w:sz="4" w:space="0" w:color="auto"/>
              <w:left w:val="single" w:sz="4" w:space="0" w:color="auto"/>
              <w:bottom w:val="single" w:sz="4" w:space="0" w:color="auto"/>
              <w:right w:val="single" w:sz="4" w:space="0" w:color="auto"/>
            </w:tcBorders>
            <w:shd w:val="clear" w:color="auto" w:fill="auto"/>
          </w:tcPr>
          <w:p w14:paraId="4CFDC217" w14:textId="77777777" w:rsidR="00EE7AF0" w:rsidRPr="008607D0" w:rsidRDefault="00EE7AF0" w:rsidP="008C7815">
            <w:pPr>
              <w:rPr>
                <w:rFonts w:cs="Arial"/>
              </w:rPr>
            </w:pPr>
            <w:r>
              <w:rPr>
                <w:rFonts w:cs="Arial"/>
              </w:rPr>
              <w:t>Budget Managers return</w:t>
            </w:r>
            <w:r w:rsidRPr="00B326B6">
              <w:rPr>
                <w:rFonts w:cs="Arial"/>
              </w:rPr>
              <w:t xml:space="preserve"> working papers</w:t>
            </w:r>
          </w:p>
        </w:tc>
        <w:tc>
          <w:tcPr>
            <w:tcW w:w="1843" w:type="dxa"/>
            <w:tcBorders>
              <w:top w:val="single" w:sz="4" w:space="0" w:color="auto"/>
              <w:left w:val="nil"/>
              <w:bottom w:val="single" w:sz="4" w:space="0" w:color="auto"/>
              <w:right w:val="single" w:sz="4" w:space="0" w:color="auto"/>
            </w:tcBorders>
            <w:shd w:val="clear" w:color="auto" w:fill="auto"/>
            <w:noWrap/>
          </w:tcPr>
          <w:p w14:paraId="3E0BD1F5" w14:textId="77777777" w:rsidR="00EE7AF0" w:rsidRPr="008607D0" w:rsidRDefault="00EE7AF0" w:rsidP="008C7815">
            <w:pPr>
              <w:jc w:val="right"/>
              <w:rPr>
                <w:rFonts w:cs="Arial"/>
              </w:rPr>
            </w:pPr>
            <w:r>
              <w:rPr>
                <w:rFonts w:cs="Arial"/>
              </w:rPr>
              <w:t>9 Feb 18</w:t>
            </w:r>
          </w:p>
        </w:tc>
      </w:tr>
      <w:tr w:rsidR="00EE7AF0" w:rsidRPr="008607D0" w14:paraId="24935074" w14:textId="77777777" w:rsidTr="008C7815">
        <w:tc>
          <w:tcPr>
            <w:tcW w:w="5528" w:type="dxa"/>
            <w:tcBorders>
              <w:top w:val="single" w:sz="4" w:space="0" w:color="auto"/>
              <w:left w:val="single" w:sz="4" w:space="0" w:color="auto"/>
              <w:bottom w:val="single" w:sz="4" w:space="0" w:color="auto"/>
              <w:right w:val="single" w:sz="4" w:space="0" w:color="auto"/>
            </w:tcBorders>
            <w:shd w:val="clear" w:color="auto" w:fill="auto"/>
          </w:tcPr>
          <w:p w14:paraId="38E304F7" w14:textId="77777777" w:rsidR="00EE7AF0" w:rsidRDefault="00EE7AF0" w:rsidP="008C7815">
            <w:pPr>
              <w:rPr>
                <w:rFonts w:cs="Arial"/>
              </w:rPr>
            </w:pPr>
            <w:r>
              <w:rPr>
                <w:rFonts w:cs="Arial"/>
              </w:rPr>
              <w:t>Resolution of queries, reallocation of overheads, and preparation of Company and DCLG budget summaries for Initial review by SMT</w:t>
            </w:r>
          </w:p>
        </w:tc>
        <w:tc>
          <w:tcPr>
            <w:tcW w:w="1843" w:type="dxa"/>
            <w:tcBorders>
              <w:top w:val="single" w:sz="4" w:space="0" w:color="auto"/>
              <w:left w:val="nil"/>
              <w:bottom w:val="single" w:sz="4" w:space="0" w:color="auto"/>
              <w:right w:val="single" w:sz="4" w:space="0" w:color="auto"/>
            </w:tcBorders>
            <w:shd w:val="clear" w:color="auto" w:fill="auto"/>
            <w:noWrap/>
          </w:tcPr>
          <w:p w14:paraId="78425A68" w14:textId="77777777" w:rsidR="00EE7AF0" w:rsidRDefault="00EE7AF0" w:rsidP="008C7815">
            <w:pPr>
              <w:jc w:val="right"/>
              <w:rPr>
                <w:rFonts w:cs="Arial"/>
              </w:rPr>
            </w:pPr>
            <w:r>
              <w:rPr>
                <w:rFonts w:cs="Arial"/>
              </w:rPr>
              <w:t>12 to 20 Feb 18</w:t>
            </w:r>
          </w:p>
        </w:tc>
      </w:tr>
      <w:tr w:rsidR="00EE7AF0" w:rsidRPr="008607D0" w14:paraId="36ADEA6F" w14:textId="77777777" w:rsidTr="008C7815">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282319B" w14:textId="77777777" w:rsidR="00EE7AF0" w:rsidRPr="008607D0" w:rsidRDefault="00EE7AF0" w:rsidP="008C7815">
            <w:pPr>
              <w:rPr>
                <w:rFonts w:cs="Arial"/>
              </w:rPr>
            </w:pPr>
            <w:r>
              <w:rPr>
                <w:rFonts w:cs="Arial"/>
              </w:rPr>
              <w:t xml:space="preserve">Initial </w:t>
            </w:r>
            <w:r w:rsidRPr="008607D0">
              <w:rPr>
                <w:rFonts w:cs="Arial"/>
              </w:rPr>
              <w:t>Review by SMT</w:t>
            </w:r>
          </w:p>
        </w:tc>
        <w:tc>
          <w:tcPr>
            <w:tcW w:w="1843" w:type="dxa"/>
            <w:tcBorders>
              <w:top w:val="single" w:sz="4" w:space="0" w:color="auto"/>
              <w:left w:val="nil"/>
              <w:bottom w:val="single" w:sz="4" w:space="0" w:color="auto"/>
              <w:right w:val="single" w:sz="4" w:space="0" w:color="auto"/>
            </w:tcBorders>
            <w:shd w:val="clear" w:color="auto" w:fill="auto"/>
            <w:noWrap/>
            <w:hideMark/>
          </w:tcPr>
          <w:p w14:paraId="17B5DB62" w14:textId="77777777" w:rsidR="00EE7AF0" w:rsidRPr="008607D0" w:rsidRDefault="00EE7AF0" w:rsidP="008C7815">
            <w:pPr>
              <w:jc w:val="right"/>
              <w:rPr>
                <w:rFonts w:cs="Arial"/>
              </w:rPr>
            </w:pPr>
            <w:r>
              <w:rPr>
                <w:rFonts w:cs="Arial"/>
              </w:rPr>
              <w:t xml:space="preserve">21 </w:t>
            </w:r>
            <w:r w:rsidRPr="008607D0">
              <w:rPr>
                <w:rFonts w:cs="Arial"/>
              </w:rPr>
              <w:t>Feb</w:t>
            </w:r>
            <w:r>
              <w:rPr>
                <w:rFonts w:cs="Arial"/>
              </w:rPr>
              <w:t xml:space="preserve"> 18</w:t>
            </w:r>
          </w:p>
        </w:tc>
      </w:tr>
      <w:tr w:rsidR="00EE7AF0" w:rsidRPr="008607D0" w14:paraId="72C6A14E" w14:textId="77777777" w:rsidTr="008C7815">
        <w:tc>
          <w:tcPr>
            <w:tcW w:w="5528" w:type="dxa"/>
            <w:tcBorders>
              <w:top w:val="nil"/>
              <w:left w:val="single" w:sz="4" w:space="0" w:color="auto"/>
              <w:bottom w:val="single" w:sz="4" w:space="0" w:color="auto"/>
              <w:right w:val="single" w:sz="4" w:space="0" w:color="auto"/>
            </w:tcBorders>
            <w:shd w:val="clear" w:color="auto" w:fill="auto"/>
            <w:hideMark/>
          </w:tcPr>
          <w:p w14:paraId="49078821" w14:textId="77777777" w:rsidR="00EE7AF0" w:rsidRPr="008607D0" w:rsidRDefault="00EE7AF0" w:rsidP="008C7815">
            <w:pPr>
              <w:rPr>
                <w:rFonts w:cs="Arial"/>
              </w:rPr>
            </w:pPr>
            <w:r w:rsidRPr="008607D0">
              <w:rPr>
                <w:rFonts w:cs="Arial"/>
              </w:rPr>
              <w:t>Chief Exec</w:t>
            </w:r>
            <w:r>
              <w:rPr>
                <w:rFonts w:cs="Arial"/>
              </w:rPr>
              <w:t>utive</w:t>
            </w:r>
            <w:r w:rsidRPr="008607D0">
              <w:rPr>
                <w:rFonts w:cs="Arial"/>
              </w:rPr>
              <w:t xml:space="preserve"> Final review</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FE31BB" w14:textId="77777777" w:rsidR="00EE7AF0" w:rsidRPr="008607D0" w:rsidRDefault="00EE7AF0" w:rsidP="008C7815">
            <w:pPr>
              <w:jc w:val="right"/>
              <w:rPr>
                <w:rFonts w:cs="Arial"/>
              </w:rPr>
            </w:pPr>
            <w:r>
              <w:rPr>
                <w:rFonts w:cs="Arial"/>
              </w:rPr>
              <w:t xml:space="preserve">22 / 23 </w:t>
            </w:r>
            <w:r w:rsidRPr="008607D0">
              <w:rPr>
                <w:rFonts w:cs="Arial"/>
              </w:rPr>
              <w:t>Feb</w:t>
            </w:r>
            <w:r>
              <w:rPr>
                <w:rFonts w:cs="Arial"/>
              </w:rPr>
              <w:t xml:space="preserve"> </w:t>
            </w:r>
            <w:r w:rsidRPr="008607D0">
              <w:rPr>
                <w:rFonts w:cs="Arial"/>
              </w:rPr>
              <w:t>1</w:t>
            </w:r>
            <w:r>
              <w:rPr>
                <w:rFonts w:cs="Arial"/>
              </w:rPr>
              <w:t>8</w:t>
            </w:r>
          </w:p>
        </w:tc>
      </w:tr>
      <w:tr w:rsidR="00EE7AF0" w:rsidRPr="008607D0" w14:paraId="01A23C52" w14:textId="77777777" w:rsidTr="008C7815">
        <w:tc>
          <w:tcPr>
            <w:tcW w:w="5528" w:type="dxa"/>
            <w:tcBorders>
              <w:top w:val="nil"/>
              <w:left w:val="single" w:sz="4" w:space="0" w:color="auto"/>
              <w:bottom w:val="single" w:sz="4" w:space="0" w:color="auto"/>
              <w:right w:val="single" w:sz="4" w:space="0" w:color="auto"/>
            </w:tcBorders>
            <w:shd w:val="clear" w:color="auto" w:fill="auto"/>
            <w:hideMark/>
          </w:tcPr>
          <w:p w14:paraId="49272D63" w14:textId="77777777" w:rsidR="00EE7AF0" w:rsidRPr="008607D0" w:rsidRDefault="00EE7AF0" w:rsidP="008C7815">
            <w:pPr>
              <w:rPr>
                <w:rFonts w:cs="Arial"/>
              </w:rPr>
            </w:pPr>
            <w:r w:rsidRPr="008607D0">
              <w:rPr>
                <w:rFonts w:cs="Arial"/>
              </w:rPr>
              <w:t xml:space="preserve">Despatch to Leadership Board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051922" w14:textId="77777777" w:rsidR="00EE7AF0" w:rsidRPr="008607D0" w:rsidRDefault="00EE7AF0" w:rsidP="008C7815">
            <w:pPr>
              <w:jc w:val="right"/>
              <w:rPr>
                <w:rFonts w:cs="Arial"/>
              </w:rPr>
            </w:pPr>
            <w:r w:rsidRPr="008607D0">
              <w:rPr>
                <w:rFonts w:cs="Arial"/>
              </w:rPr>
              <w:t>2</w:t>
            </w:r>
            <w:r>
              <w:rPr>
                <w:rFonts w:cs="Arial"/>
              </w:rPr>
              <w:t xml:space="preserve">8 </w:t>
            </w:r>
            <w:r w:rsidRPr="008607D0">
              <w:rPr>
                <w:rFonts w:cs="Arial"/>
              </w:rPr>
              <w:t>Feb</w:t>
            </w:r>
            <w:r>
              <w:rPr>
                <w:rFonts w:cs="Arial"/>
              </w:rPr>
              <w:t xml:space="preserve"> </w:t>
            </w:r>
            <w:r w:rsidRPr="008607D0">
              <w:rPr>
                <w:rFonts w:cs="Arial"/>
              </w:rPr>
              <w:t>1</w:t>
            </w:r>
            <w:r>
              <w:rPr>
                <w:rFonts w:cs="Arial"/>
              </w:rPr>
              <w:t>8</w:t>
            </w:r>
          </w:p>
        </w:tc>
      </w:tr>
      <w:tr w:rsidR="00EE7AF0" w:rsidRPr="008607D0" w14:paraId="4FB2D2C8" w14:textId="77777777" w:rsidTr="008C7815">
        <w:tc>
          <w:tcPr>
            <w:tcW w:w="5528" w:type="dxa"/>
            <w:tcBorders>
              <w:top w:val="nil"/>
              <w:left w:val="single" w:sz="4" w:space="0" w:color="auto"/>
              <w:bottom w:val="single" w:sz="4" w:space="0" w:color="auto"/>
              <w:right w:val="single" w:sz="4" w:space="0" w:color="auto"/>
            </w:tcBorders>
            <w:shd w:val="clear" w:color="auto" w:fill="auto"/>
            <w:hideMark/>
          </w:tcPr>
          <w:p w14:paraId="47F0B8C8" w14:textId="77777777" w:rsidR="00EE7AF0" w:rsidRPr="008607D0" w:rsidRDefault="00EE7AF0" w:rsidP="008C7815">
            <w:pPr>
              <w:rPr>
                <w:rFonts w:cs="Arial"/>
              </w:rPr>
            </w:pPr>
            <w:r w:rsidRPr="008607D0">
              <w:rPr>
                <w:rFonts w:cs="Arial"/>
              </w:rPr>
              <w:t xml:space="preserve">Review by Leadership Board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EDA3D3" w14:textId="77777777" w:rsidR="00EE7AF0" w:rsidRPr="008607D0" w:rsidRDefault="00EE7AF0" w:rsidP="008C7815">
            <w:pPr>
              <w:jc w:val="right"/>
              <w:rPr>
                <w:rFonts w:cs="Arial"/>
              </w:rPr>
            </w:pPr>
            <w:r>
              <w:rPr>
                <w:rFonts w:cs="Arial"/>
              </w:rPr>
              <w:t xml:space="preserve">7 </w:t>
            </w:r>
            <w:r w:rsidRPr="008607D0">
              <w:rPr>
                <w:rFonts w:cs="Arial"/>
              </w:rPr>
              <w:t>Mar</w:t>
            </w:r>
            <w:r>
              <w:rPr>
                <w:rFonts w:cs="Arial"/>
              </w:rPr>
              <w:t xml:space="preserve"> </w:t>
            </w:r>
            <w:r w:rsidRPr="008607D0">
              <w:rPr>
                <w:rFonts w:cs="Arial"/>
              </w:rPr>
              <w:t>1</w:t>
            </w:r>
            <w:r>
              <w:rPr>
                <w:rFonts w:cs="Arial"/>
              </w:rPr>
              <w:t>8</w:t>
            </w:r>
          </w:p>
        </w:tc>
      </w:tr>
    </w:tbl>
    <w:p w14:paraId="1A4D29AF" w14:textId="77777777" w:rsidR="00EE7AF0" w:rsidRDefault="00EE7AF0" w:rsidP="00EE7AF0">
      <w:pPr>
        <w:pStyle w:val="MainText"/>
        <w:spacing w:line="240" w:lineRule="auto"/>
        <w:rPr>
          <w:rFonts w:cs="Arial"/>
          <w:szCs w:val="22"/>
        </w:rPr>
      </w:pPr>
    </w:p>
    <w:p w14:paraId="1D44EF0D" w14:textId="77777777" w:rsidR="00EE7AF0" w:rsidRDefault="00EE7AF0" w:rsidP="00EE7AF0">
      <w:pPr>
        <w:pStyle w:val="MainText"/>
        <w:numPr>
          <w:ilvl w:val="0"/>
          <w:numId w:val="3"/>
        </w:numPr>
        <w:spacing w:line="240" w:lineRule="auto"/>
        <w:rPr>
          <w:rFonts w:cs="Arial"/>
          <w:szCs w:val="22"/>
        </w:rPr>
      </w:pPr>
      <w:r>
        <w:rPr>
          <w:rFonts w:cs="Arial"/>
          <w:szCs w:val="22"/>
        </w:rPr>
        <w:t>Members reviewed the</w:t>
      </w:r>
      <w:r w:rsidRPr="00A20DE6">
        <w:rPr>
          <w:rFonts w:cs="Arial"/>
          <w:szCs w:val="22"/>
        </w:rPr>
        <w:t xml:space="preserve"> overall budget </w:t>
      </w:r>
      <w:r w:rsidR="00F052C9">
        <w:rPr>
          <w:rFonts w:cs="Arial"/>
          <w:szCs w:val="22"/>
        </w:rPr>
        <w:t xml:space="preserve">framework </w:t>
      </w:r>
      <w:r w:rsidRPr="00A20DE6">
        <w:rPr>
          <w:rFonts w:cs="Arial"/>
          <w:szCs w:val="22"/>
        </w:rPr>
        <w:t xml:space="preserve">strategy </w:t>
      </w:r>
      <w:r>
        <w:rPr>
          <w:rFonts w:cs="Arial"/>
          <w:szCs w:val="22"/>
        </w:rPr>
        <w:t>in October 2017,</w:t>
      </w:r>
      <w:r w:rsidRPr="00A20DE6">
        <w:rPr>
          <w:rFonts w:cs="Arial"/>
          <w:szCs w:val="22"/>
        </w:rPr>
        <w:t xml:space="preserve"> reflect</w:t>
      </w:r>
      <w:r>
        <w:rPr>
          <w:rFonts w:cs="Arial"/>
          <w:szCs w:val="22"/>
        </w:rPr>
        <w:t>ing</w:t>
      </w:r>
      <w:r w:rsidRPr="00A20DE6">
        <w:rPr>
          <w:rFonts w:cs="Arial"/>
          <w:szCs w:val="22"/>
        </w:rPr>
        <w:t xml:space="preserve"> the tight financial position faced by the LGA and the Councils we support. </w:t>
      </w:r>
      <w:r>
        <w:rPr>
          <w:rFonts w:cs="Arial"/>
          <w:szCs w:val="22"/>
        </w:rPr>
        <w:t xml:space="preserve"> </w:t>
      </w:r>
      <w:r w:rsidRPr="00A20DE6">
        <w:rPr>
          <w:rFonts w:cs="Arial"/>
          <w:szCs w:val="22"/>
        </w:rPr>
        <w:t xml:space="preserve">In preparing this year’s budget I have been asked to help budget holders </w:t>
      </w:r>
      <w:r>
        <w:rPr>
          <w:rFonts w:cs="Arial"/>
          <w:szCs w:val="22"/>
        </w:rPr>
        <w:t>prepare phased budgets that ensure we utilise our resources to best deliver the overall LGA Business plan.</w:t>
      </w:r>
    </w:p>
    <w:p w14:paraId="78937C58" w14:textId="77777777" w:rsidR="00F052C9" w:rsidRPr="00A20DE6" w:rsidRDefault="00F052C9" w:rsidP="00EE7AF0">
      <w:pPr>
        <w:pStyle w:val="MainText"/>
        <w:numPr>
          <w:ilvl w:val="0"/>
          <w:numId w:val="3"/>
        </w:numPr>
        <w:spacing w:line="240" w:lineRule="auto"/>
        <w:rPr>
          <w:rFonts w:cs="Arial"/>
          <w:szCs w:val="22"/>
        </w:rPr>
      </w:pPr>
      <w:r>
        <w:rPr>
          <w:rFonts w:cs="Arial"/>
          <w:szCs w:val="22"/>
        </w:rPr>
        <w:t>We will also use this opportunity to develop a Medium Term Financial Plan (at a high level) to give Members to the ability to identify upcoming risks and opportunities in future years as a result of current plans.</w:t>
      </w:r>
    </w:p>
    <w:p w14:paraId="4D1625C4" w14:textId="77777777" w:rsidR="00EE7AF0" w:rsidRPr="002C179C" w:rsidRDefault="00EE7AF0" w:rsidP="00EE7AF0">
      <w:pPr>
        <w:pStyle w:val="MainText"/>
        <w:spacing w:line="240" w:lineRule="auto"/>
        <w:rPr>
          <w:rFonts w:cs="Arial"/>
          <w:b/>
          <w:szCs w:val="22"/>
        </w:rPr>
      </w:pPr>
      <w:r>
        <w:rPr>
          <w:rFonts w:cs="Arial"/>
          <w:b/>
          <w:szCs w:val="22"/>
        </w:rPr>
        <w:t>What is required from you?</w:t>
      </w:r>
    </w:p>
    <w:p w14:paraId="65B3BC53" w14:textId="77777777" w:rsidR="00EE7AF0" w:rsidRDefault="00EE7AF0" w:rsidP="00EE7AF0">
      <w:pPr>
        <w:pStyle w:val="MainText"/>
        <w:numPr>
          <w:ilvl w:val="0"/>
          <w:numId w:val="3"/>
        </w:numPr>
        <w:spacing w:line="240" w:lineRule="auto"/>
        <w:rPr>
          <w:rFonts w:cs="Arial"/>
          <w:szCs w:val="22"/>
        </w:rPr>
      </w:pPr>
      <w:r>
        <w:rPr>
          <w:rFonts w:cs="Arial"/>
          <w:szCs w:val="22"/>
        </w:rPr>
        <w:t xml:space="preserve">To meet this timetable budget holders are required </w:t>
      </w:r>
      <w:r w:rsidRPr="00A20DE6">
        <w:rPr>
          <w:rFonts w:cs="Arial"/>
          <w:szCs w:val="22"/>
        </w:rPr>
        <w:t xml:space="preserve">by the </w:t>
      </w:r>
      <w:r w:rsidRPr="00882A5C">
        <w:rPr>
          <w:rFonts w:cs="Arial"/>
          <w:b/>
          <w:szCs w:val="22"/>
        </w:rPr>
        <w:t xml:space="preserve">midday on </w:t>
      </w:r>
      <w:r>
        <w:rPr>
          <w:rFonts w:cs="Arial"/>
          <w:b/>
          <w:szCs w:val="22"/>
        </w:rPr>
        <w:t>Friday</w:t>
      </w:r>
      <w:r w:rsidRPr="00882A5C">
        <w:rPr>
          <w:rFonts w:cs="Arial"/>
          <w:b/>
          <w:szCs w:val="22"/>
        </w:rPr>
        <w:t xml:space="preserve"> </w:t>
      </w:r>
      <w:r>
        <w:rPr>
          <w:rFonts w:cs="Arial"/>
          <w:b/>
          <w:szCs w:val="22"/>
        </w:rPr>
        <w:t xml:space="preserve">9 </w:t>
      </w:r>
      <w:r w:rsidRPr="00882A5C">
        <w:rPr>
          <w:rFonts w:cs="Arial"/>
          <w:b/>
          <w:szCs w:val="22"/>
        </w:rPr>
        <w:t>February</w:t>
      </w:r>
      <w:r>
        <w:rPr>
          <w:rFonts w:cs="Arial"/>
          <w:b/>
          <w:szCs w:val="22"/>
        </w:rPr>
        <w:t xml:space="preserve"> 2018 </w:t>
      </w:r>
      <w:r w:rsidRPr="00A20DE6">
        <w:rPr>
          <w:rFonts w:cs="Arial"/>
          <w:szCs w:val="22"/>
        </w:rPr>
        <w:t xml:space="preserve">at the </w:t>
      </w:r>
      <w:r>
        <w:rPr>
          <w:rFonts w:cs="Arial"/>
          <w:szCs w:val="22"/>
        </w:rPr>
        <w:t xml:space="preserve">very </w:t>
      </w:r>
      <w:r w:rsidRPr="00A20DE6">
        <w:rPr>
          <w:rFonts w:cs="Arial"/>
          <w:szCs w:val="22"/>
        </w:rPr>
        <w:t>latest</w:t>
      </w:r>
      <w:r>
        <w:rPr>
          <w:rFonts w:cs="Arial"/>
          <w:szCs w:val="22"/>
        </w:rPr>
        <w:t xml:space="preserve"> (there can be no slippage on this date)</w:t>
      </w:r>
      <w:r w:rsidRPr="00A20DE6">
        <w:rPr>
          <w:rFonts w:cs="Arial"/>
          <w:szCs w:val="22"/>
        </w:rPr>
        <w:t xml:space="preserve"> </w:t>
      </w:r>
      <w:r>
        <w:rPr>
          <w:rFonts w:cs="Arial"/>
          <w:szCs w:val="22"/>
        </w:rPr>
        <w:t xml:space="preserve">to complete for each cost centre they are responsible for working papers to confirm budget requirements for 2018/19. </w:t>
      </w:r>
    </w:p>
    <w:p w14:paraId="3B4C9A1D" w14:textId="77777777" w:rsidR="00EE7AF0" w:rsidRDefault="00EE7AF0" w:rsidP="00EE7AF0">
      <w:pPr>
        <w:pStyle w:val="MainText"/>
        <w:numPr>
          <w:ilvl w:val="0"/>
          <w:numId w:val="3"/>
        </w:numPr>
        <w:spacing w:line="240" w:lineRule="auto"/>
        <w:rPr>
          <w:rFonts w:cs="Arial"/>
          <w:szCs w:val="22"/>
        </w:rPr>
      </w:pPr>
      <w:r>
        <w:rPr>
          <w:rFonts w:cs="Arial"/>
          <w:szCs w:val="22"/>
        </w:rPr>
        <w:t xml:space="preserve">The template being used this year provides detail around spending in the current year, and sets a base budget for next year (Col </w:t>
      </w:r>
      <w:r w:rsidRPr="00B11708">
        <w:rPr>
          <w:rFonts w:cs="Arial"/>
          <w:szCs w:val="22"/>
          <w:highlight w:val="yellow"/>
        </w:rPr>
        <w:t>Q</w:t>
      </w:r>
      <w:r>
        <w:rPr>
          <w:rFonts w:cs="Arial"/>
          <w:szCs w:val="22"/>
        </w:rPr>
        <w:t>) based on your last full forecast (Q2, undertaken in October 2017) for this year.  You are also asked to phase the budget by month to enable better reporting and analysis during 2018/19.</w:t>
      </w:r>
    </w:p>
    <w:p w14:paraId="04C11BD6" w14:textId="77777777" w:rsidR="00EE7AF0" w:rsidRDefault="00EE7AF0" w:rsidP="00EE7AF0">
      <w:pPr>
        <w:pStyle w:val="MainText"/>
        <w:numPr>
          <w:ilvl w:val="0"/>
          <w:numId w:val="3"/>
        </w:numPr>
        <w:spacing w:line="240" w:lineRule="auto"/>
        <w:rPr>
          <w:rFonts w:cs="Arial"/>
          <w:szCs w:val="22"/>
        </w:rPr>
      </w:pPr>
      <w:r>
        <w:rPr>
          <w:rFonts w:cs="Arial"/>
          <w:szCs w:val="22"/>
        </w:rPr>
        <w:t xml:space="preserve">All requested changes to the overall base budget should be identified in the Changes column (Col </w:t>
      </w:r>
      <w:r w:rsidRPr="00B11708">
        <w:rPr>
          <w:rFonts w:cs="Arial"/>
          <w:szCs w:val="22"/>
          <w:highlight w:val="yellow"/>
        </w:rPr>
        <w:t>R</w:t>
      </w:r>
      <w:r>
        <w:rPr>
          <w:rFonts w:cs="Arial"/>
          <w:szCs w:val="22"/>
        </w:rPr>
        <w:t>).  Please round all change figures to £ thousands to make for easier high level reporting.</w:t>
      </w:r>
    </w:p>
    <w:p w14:paraId="7F559749" w14:textId="77777777" w:rsidR="00EE7AF0" w:rsidRDefault="00EE7AF0" w:rsidP="00EE7AF0">
      <w:pPr>
        <w:pStyle w:val="MainText"/>
        <w:numPr>
          <w:ilvl w:val="0"/>
          <w:numId w:val="3"/>
        </w:numPr>
        <w:spacing w:line="240" w:lineRule="auto"/>
        <w:rPr>
          <w:rFonts w:cs="Arial"/>
          <w:szCs w:val="22"/>
        </w:rPr>
      </w:pPr>
      <w:r>
        <w:rPr>
          <w:rFonts w:cs="Arial"/>
          <w:szCs w:val="22"/>
        </w:rPr>
        <w:t xml:space="preserve">You are requested in Column </w:t>
      </w:r>
      <w:r w:rsidRPr="00B11708">
        <w:rPr>
          <w:rFonts w:cs="Arial"/>
          <w:szCs w:val="22"/>
          <w:highlight w:val="yellow"/>
        </w:rPr>
        <w:t>R</w:t>
      </w:r>
      <w:r>
        <w:rPr>
          <w:rFonts w:cs="Arial"/>
          <w:szCs w:val="22"/>
        </w:rPr>
        <w:t xml:space="preserve"> to identify changes to the budget that:</w:t>
      </w:r>
    </w:p>
    <w:p w14:paraId="1199D4B7" w14:textId="77777777" w:rsidR="00EE7AF0" w:rsidRDefault="00EE7AF0" w:rsidP="00EE7AF0">
      <w:pPr>
        <w:pStyle w:val="MainText"/>
        <w:numPr>
          <w:ilvl w:val="1"/>
          <w:numId w:val="3"/>
        </w:numPr>
        <w:spacing w:line="240" w:lineRule="auto"/>
        <w:ind w:left="792" w:hanging="432"/>
        <w:rPr>
          <w:rFonts w:cs="Arial"/>
          <w:szCs w:val="22"/>
        </w:rPr>
      </w:pPr>
      <w:r>
        <w:rPr>
          <w:rFonts w:cs="Arial"/>
          <w:szCs w:val="22"/>
        </w:rPr>
        <w:t>Will make your budget management easier by moving elements of the budget to the account codes where expenditure or income is most likely to occur. These reallocation movements should net to £nil overall;</w:t>
      </w:r>
    </w:p>
    <w:p w14:paraId="55823A6F" w14:textId="77777777" w:rsidR="00EE7AF0" w:rsidRDefault="00EE7AF0" w:rsidP="00EE7AF0">
      <w:pPr>
        <w:pStyle w:val="MainText"/>
        <w:numPr>
          <w:ilvl w:val="1"/>
          <w:numId w:val="3"/>
        </w:numPr>
        <w:spacing w:line="240" w:lineRule="auto"/>
        <w:ind w:left="792" w:hanging="432"/>
        <w:rPr>
          <w:rFonts w:cs="Arial"/>
          <w:szCs w:val="22"/>
        </w:rPr>
      </w:pPr>
      <w:r>
        <w:rPr>
          <w:rFonts w:cs="Arial"/>
          <w:szCs w:val="22"/>
        </w:rPr>
        <w:t>Identifies savings or additional income that will help improve the LGA’s overall financial position; and</w:t>
      </w:r>
    </w:p>
    <w:p w14:paraId="000898E2" w14:textId="77777777" w:rsidR="00EE7AF0" w:rsidRDefault="00EE7AF0" w:rsidP="00EE7AF0">
      <w:pPr>
        <w:pStyle w:val="MainText"/>
        <w:numPr>
          <w:ilvl w:val="1"/>
          <w:numId w:val="3"/>
        </w:numPr>
        <w:spacing w:line="240" w:lineRule="auto"/>
        <w:ind w:left="792" w:hanging="432"/>
        <w:rPr>
          <w:rFonts w:cs="Arial"/>
          <w:szCs w:val="22"/>
        </w:rPr>
      </w:pPr>
      <w:r>
        <w:rPr>
          <w:rFonts w:cs="Arial"/>
          <w:szCs w:val="22"/>
        </w:rPr>
        <w:lastRenderedPageBreak/>
        <w:t xml:space="preserve">Identifies increased costs or reductions in income that will require additional funding. </w:t>
      </w:r>
    </w:p>
    <w:p w14:paraId="64DDC06F" w14:textId="77777777" w:rsidR="00EE7AF0" w:rsidRDefault="00EE7AF0" w:rsidP="00EE7AF0">
      <w:pPr>
        <w:pStyle w:val="MainText"/>
        <w:numPr>
          <w:ilvl w:val="0"/>
          <w:numId w:val="3"/>
        </w:numPr>
        <w:spacing w:line="240" w:lineRule="auto"/>
        <w:rPr>
          <w:rFonts w:cs="Arial"/>
          <w:szCs w:val="22"/>
        </w:rPr>
      </w:pPr>
      <w:r>
        <w:rPr>
          <w:rFonts w:cs="Arial"/>
          <w:szCs w:val="22"/>
        </w:rPr>
        <w:t xml:space="preserve">For those budget managers preparing Staff costs budget, my team will this week issue you with a budget worksheet for next year based on existing posts in place in your cost centres.  Please review, where required making adjustments as required to reflect expected joiners, movers (maternity, secondments and promotions), and leavers in 2018/19. </w:t>
      </w:r>
    </w:p>
    <w:p w14:paraId="2A2C5438" w14:textId="77777777" w:rsidR="00EE7AF0" w:rsidRDefault="00EE7AF0" w:rsidP="00EE7AF0">
      <w:pPr>
        <w:pStyle w:val="MainText"/>
        <w:numPr>
          <w:ilvl w:val="0"/>
          <w:numId w:val="3"/>
        </w:numPr>
        <w:spacing w:line="240" w:lineRule="auto"/>
        <w:rPr>
          <w:rFonts w:cs="Arial"/>
          <w:szCs w:val="22"/>
        </w:rPr>
      </w:pPr>
      <w:r>
        <w:rPr>
          <w:rFonts w:cs="Arial"/>
          <w:szCs w:val="22"/>
        </w:rPr>
        <w:t>The base staffing budgets will include expected increments for next year as well as an allowance for the pay award, known increases in pension contributions and other salary overheads.  This worksheet will identify the impact of these items.</w:t>
      </w:r>
    </w:p>
    <w:p w14:paraId="01A7AD0F" w14:textId="77777777" w:rsidR="00EE7AF0" w:rsidRDefault="00EE7AF0" w:rsidP="00EE7AF0">
      <w:pPr>
        <w:pStyle w:val="MainText"/>
        <w:numPr>
          <w:ilvl w:val="0"/>
          <w:numId w:val="3"/>
        </w:numPr>
        <w:spacing w:line="240" w:lineRule="auto"/>
        <w:rPr>
          <w:rFonts w:cs="Arial"/>
          <w:szCs w:val="22"/>
        </w:rPr>
      </w:pPr>
      <w:r>
        <w:rPr>
          <w:rFonts w:cs="Arial"/>
          <w:szCs w:val="22"/>
        </w:rPr>
        <w:t xml:space="preserve">Once the budget is complete, for items 6.2 and 6.3 above please provide an explanation of the variances in the commentary section (rows </w:t>
      </w:r>
      <w:r w:rsidRPr="00B11708">
        <w:rPr>
          <w:rFonts w:cs="Arial"/>
          <w:szCs w:val="22"/>
          <w:highlight w:val="yellow"/>
        </w:rPr>
        <w:t>9 to 18</w:t>
      </w:r>
      <w:r>
        <w:rPr>
          <w:rFonts w:cs="Arial"/>
          <w:szCs w:val="22"/>
        </w:rPr>
        <w:t xml:space="preserve">) of each cost centres’ worksheet. </w:t>
      </w:r>
    </w:p>
    <w:p w14:paraId="18A6BB38" w14:textId="77777777" w:rsidR="00EE7AF0" w:rsidRDefault="00EE7AF0" w:rsidP="00EE7AF0">
      <w:pPr>
        <w:pStyle w:val="MainText"/>
        <w:numPr>
          <w:ilvl w:val="0"/>
          <w:numId w:val="3"/>
        </w:numPr>
        <w:spacing w:line="240" w:lineRule="auto"/>
        <w:rPr>
          <w:rFonts w:cs="Arial"/>
          <w:szCs w:val="22"/>
        </w:rPr>
      </w:pPr>
      <w:r>
        <w:rPr>
          <w:rFonts w:cs="Arial"/>
          <w:szCs w:val="22"/>
        </w:rPr>
        <w:t xml:space="preserve">Please complete across the </w:t>
      </w:r>
      <w:r w:rsidRPr="00A17C9E">
        <w:rPr>
          <w:rFonts w:cs="Arial"/>
          <w:szCs w:val="22"/>
          <w:highlight w:val="yellow"/>
        </w:rPr>
        <w:t>10</w:t>
      </w:r>
      <w:r>
        <w:rPr>
          <w:rFonts w:cs="Arial"/>
          <w:szCs w:val="22"/>
        </w:rPr>
        <w:t xml:space="preserve"> rows in this section the main causes of any variations, using the dropdown selection in column </w:t>
      </w:r>
      <w:r w:rsidRPr="00C8167E">
        <w:rPr>
          <w:rFonts w:cs="Arial"/>
          <w:szCs w:val="22"/>
          <w:highlight w:val="yellow"/>
        </w:rPr>
        <w:t>M</w:t>
      </w:r>
      <w:r>
        <w:rPr>
          <w:rFonts w:cs="Arial"/>
          <w:szCs w:val="22"/>
        </w:rPr>
        <w:t xml:space="preserve"> and an explanation of reasons for your SMT Manager in column </w:t>
      </w:r>
      <w:r w:rsidRPr="00C8167E">
        <w:rPr>
          <w:rFonts w:cs="Arial"/>
          <w:szCs w:val="22"/>
          <w:highlight w:val="yellow"/>
        </w:rPr>
        <w:t>M</w:t>
      </w:r>
      <w:r>
        <w:rPr>
          <w:rFonts w:cs="Arial"/>
          <w:szCs w:val="22"/>
        </w:rPr>
        <w:t xml:space="preserve">, with the value in column </w:t>
      </w:r>
      <w:r w:rsidRPr="00C8167E">
        <w:rPr>
          <w:rFonts w:cs="Arial"/>
          <w:szCs w:val="22"/>
          <w:highlight w:val="yellow"/>
        </w:rPr>
        <w:t>N</w:t>
      </w:r>
      <w:r>
        <w:rPr>
          <w:rFonts w:cs="Arial"/>
          <w:szCs w:val="22"/>
        </w:rPr>
        <w:t xml:space="preserve">.  As with the detailed budget paper these should relate only to the key items over £1k.  The total of column </w:t>
      </w:r>
      <w:r w:rsidRPr="00C8167E">
        <w:rPr>
          <w:rFonts w:cs="Arial"/>
          <w:szCs w:val="22"/>
          <w:highlight w:val="yellow"/>
        </w:rPr>
        <w:t>N</w:t>
      </w:r>
      <w:r>
        <w:rPr>
          <w:rFonts w:cs="Arial"/>
          <w:szCs w:val="22"/>
        </w:rPr>
        <w:t xml:space="preserve"> should equal the Net variance shown in column </w:t>
      </w:r>
      <w:r w:rsidRPr="00C8167E">
        <w:rPr>
          <w:rFonts w:cs="Arial"/>
          <w:szCs w:val="22"/>
          <w:highlight w:val="yellow"/>
        </w:rPr>
        <w:t>R</w:t>
      </w:r>
      <w:r>
        <w:rPr>
          <w:rFonts w:cs="Arial"/>
          <w:szCs w:val="22"/>
        </w:rPr>
        <w:t xml:space="preserve"> of the workings sheet.  The key areas we are looking to identify are:</w:t>
      </w:r>
      <w:r>
        <w:rPr>
          <w:rFonts w:cs="Arial"/>
          <w:szCs w:val="22"/>
        </w:rPr>
        <w:br/>
      </w:r>
    </w:p>
    <w:tbl>
      <w:tblPr>
        <w:tblStyle w:val="TableGrid"/>
        <w:tblW w:w="0" w:type="auto"/>
        <w:tblInd w:w="607" w:type="dxa"/>
        <w:tblLook w:val="04A0" w:firstRow="1" w:lastRow="0" w:firstColumn="1" w:lastColumn="0" w:noHBand="0" w:noVBand="1"/>
      </w:tblPr>
      <w:tblGrid>
        <w:gridCol w:w="704"/>
        <w:gridCol w:w="7048"/>
      </w:tblGrid>
      <w:tr w:rsidR="00EE7AF0" w14:paraId="7356BE1F" w14:textId="77777777" w:rsidTr="008C7815">
        <w:tc>
          <w:tcPr>
            <w:tcW w:w="704" w:type="dxa"/>
          </w:tcPr>
          <w:p w14:paraId="4F69119C" w14:textId="77777777" w:rsidR="00EE7AF0" w:rsidRDefault="00EE7AF0" w:rsidP="00EE7AF0">
            <w:pPr>
              <w:pStyle w:val="MainText"/>
              <w:numPr>
                <w:ilvl w:val="0"/>
                <w:numId w:val="13"/>
              </w:numPr>
              <w:spacing w:after="0" w:line="240" w:lineRule="auto"/>
              <w:rPr>
                <w:rFonts w:cs="Arial"/>
                <w:szCs w:val="22"/>
              </w:rPr>
            </w:pPr>
          </w:p>
        </w:tc>
        <w:tc>
          <w:tcPr>
            <w:tcW w:w="7048" w:type="dxa"/>
          </w:tcPr>
          <w:p w14:paraId="0CD570D8" w14:textId="77777777" w:rsidR="00EE7AF0" w:rsidRDefault="00EE7AF0" w:rsidP="008C7815">
            <w:pPr>
              <w:pStyle w:val="MainText"/>
              <w:spacing w:line="240" w:lineRule="auto"/>
              <w:rPr>
                <w:rFonts w:cs="Arial"/>
                <w:szCs w:val="22"/>
              </w:rPr>
            </w:pPr>
            <w:r>
              <w:rPr>
                <w:rFonts w:cs="Arial"/>
                <w:szCs w:val="22"/>
              </w:rPr>
              <w:t>One off savings in the 2017/18 forecast reinstated for 2018/19</w:t>
            </w:r>
          </w:p>
        </w:tc>
      </w:tr>
      <w:tr w:rsidR="00EE7AF0" w14:paraId="68A8FADB" w14:textId="77777777" w:rsidTr="008C7815">
        <w:tc>
          <w:tcPr>
            <w:tcW w:w="704" w:type="dxa"/>
          </w:tcPr>
          <w:p w14:paraId="61C8992E" w14:textId="77777777" w:rsidR="00EE7AF0" w:rsidRDefault="00EE7AF0" w:rsidP="00EE7AF0">
            <w:pPr>
              <w:pStyle w:val="MainText"/>
              <w:numPr>
                <w:ilvl w:val="0"/>
                <w:numId w:val="13"/>
              </w:numPr>
              <w:spacing w:after="0" w:line="240" w:lineRule="auto"/>
              <w:rPr>
                <w:rFonts w:cs="Arial"/>
                <w:szCs w:val="22"/>
              </w:rPr>
            </w:pPr>
          </w:p>
        </w:tc>
        <w:tc>
          <w:tcPr>
            <w:tcW w:w="7048" w:type="dxa"/>
          </w:tcPr>
          <w:p w14:paraId="67A96588" w14:textId="77777777" w:rsidR="00EE7AF0" w:rsidRDefault="00EE7AF0" w:rsidP="008C7815">
            <w:pPr>
              <w:pStyle w:val="MainText"/>
              <w:spacing w:line="240" w:lineRule="auto"/>
              <w:rPr>
                <w:rFonts w:cs="Arial"/>
                <w:szCs w:val="22"/>
              </w:rPr>
            </w:pPr>
            <w:r>
              <w:rPr>
                <w:rFonts w:cs="Arial"/>
                <w:szCs w:val="22"/>
              </w:rPr>
              <w:t xml:space="preserve">Proposed budget movements to another cost centre – note this proposed </w:t>
            </w:r>
            <w:proofErr w:type="spellStart"/>
            <w:r>
              <w:rPr>
                <w:rFonts w:cs="Arial"/>
                <w:szCs w:val="22"/>
              </w:rPr>
              <w:t>virement</w:t>
            </w:r>
            <w:proofErr w:type="spellEnd"/>
            <w:r>
              <w:rPr>
                <w:rFonts w:cs="Arial"/>
                <w:szCs w:val="22"/>
              </w:rPr>
              <w:t xml:space="preserve"> must offset changes to another cost centre or cost centres – include these in the explanation</w:t>
            </w:r>
          </w:p>
        </w:tc>
      </w:tr>
      <w:tr w:rsidR="00EE7AF0" w14:paraId="09192860" w14:textId="77777777" w:rsidTr="008C7815">
        <w:tc>
          <w:tcPr>
            <w:tcW w:w="704" w:type="dxa"/>
          </w:tcPr>
          <w:p w14:paraId="35AC8557" w14:textId="77777777" w:rsidR="00EE7AF0" w:rsidRDefault="00EE7AF0" w:rsidP="00EE7AF0">
            <w:pPr>
              <w:pStyle w:val="MainText"/>
              <w:numPr>
                <w:ilvl w:val="0"/>
                <w:numId w:val="13"/>
              </w:numPr>
              <w:spacing w:after="0" w:line="240" w:lineRule="auto"/>
              <w:rPr>
                <w:rFonts w:cs="Arial"/>
                <w:szCs w:val="22"/>
              </w:rPr>
            </w:pPr>
          </w:p>
        </w:tc>
        <w:tc>
          <w:tcPr>
            <w:tcW w:w="7048" w:type="dxa"/>
          </w:tcPr>
          <w:p w14:paraId="36843605" w14:textId="77777777" w:rsidR="00EE7AF0" w:rsidRDefault="00EE7AF0" w:rsidP="008C7815">
            <w:pPr>
              <w:pStyle w:val="MainText"/>
              <w:spacing w:line="240" w:lineRule="auto"/>
              <w:rPr>
                <w:rFonts w:cs="Arial"/>
                <w:szCs w:val="22"/>
              </w:rPr>
            </w:pPr>
            <w:r>
              <w:rPr>
                <w:rFonts w:cs="Arial"/>
                <w:szCs w:val="22"/>
              </w:rPr>
              <w:t>Unavoidable additional costs</w:t>
            </w:r>
          </w:p>
        </w:tc>
      </w:tr>
      <w:tr w:rsidR="00EE7AF0" w14:paraId="55CEA884" w14:textId="77777777" w:rsidTr="008C7815">
        <w:tc>
          <w:tcPr>
            <w:tcW w:w="704" w:type="dxa"/>
          </w:tcPr>
          <w:p w14:paraId="252E9416" w14:textId="77777777" w:rsidR="00EE7AF0" w:rsidRDefault="00EE7AF0" w:rsidP="00EE7AF0">
            <w:pPr>
              <w:pStyle w:val="MainText"/>
              <w:numPr>
                <w:ilvl w:val="0"/>
                <w:numId w:val="13"/>
              </w:numPr>
              <w:spacing w:after="0" w:line="240" w:lineRule="auto"/>
              <w:rPr>
                <w:rFonts w:cs="Arial"/>
                <w:szCs w:val="22"/>
              </w:rPr>
            </w:pPr>
          </w:p>
        </w:tc>
        <w:tc>
          <w:tcPr>
            <w:tcW w:w="7048" w:type="dxa"/>
          </w:tcPr>
          <w:p w14:paraId="06F3E617" w14:textId="77777777" w:rsidR="00EE7AF0" w:rsidRDefault="00EE7AF0" w:rsidP="008C7815">
            <w:pPr>
              <w:pStyle w:val="MainText"/>
              <w:spacing w:line="240" w:lineRule="auto"/>
              <w:rPr>
                <w:rFonts w:cs="Arial"/>
                <w:szCs w:val="22"/>
              </w:rPr>
            </w:pPr>
            <w:r>
              <w:rPr>
                <w:rFonts w:cs="Arial"/>
                <w:szCs w:val="22"/>
              </w:rPr>
              <w:t>Proposed cost reductions</w:t>
            </w:r>
          </w:p>
        </w:tc>
      </w:tr>
      <w:tr w:rsidR="00EE7AF0" w14:paraId="4240D84B" w14:textId="77777777" w:rsidTr="008C7815">
        <w:tc>
          <w:tcPr>
            <w:tcW w:w="704" w:type="dxa"/>
          </w:tcPr>
          <w:p w14:paraId="7423B793" w14:textId="77777777" w:rsidR="00EE7AF0" w:rsidRDefault="00EE7AF0" w:rsidP="00EE7AF0">
            <w:pPr>
              <w:pStyle w:val="MainText"/>
              <w:numPr>
                <w:ilvl w:val="0"/>
                <w:numId w:val="13"/>
              </w:numPr>
              <w:spacing w:after="0" w:line="240" w:lineRule="auto"/>
              <w:rPr>
                <w:rFonts w:cs="Arial"/>
                <w:szCs w:val="22"/>
              </w:rPr>
            </w:pPr>
          </w:p>
        </w:tc>
        <w:tc>
          <w:tcPr>
            <w:tcW w:w="7048" w:type="dxa"/>
          </w:tcPr>
          <w:p w14:paraId="19468AA0" w14:textId="77777777" w:rsidR="00EE7AF0" w:rsidRDefault="00EE7AF0" w:rsidP="008C7815">
            <w:pPr>
              <w:pStyle w:val="MainText"/>
              <w:spacing w:line="240" w:lineRule="auto"/>
              <w:rPr>
                <w:rFonts w:cs="Arial"/>
                <w:szCs w:val="22"/>
              </w:rPr>
            </w:pPr>
            <w:r>
              <w:rPr>
                <w:rFonts w:cs="Arial"/>
                <w:szCs w:val="22"/>
              </w:rPr>
              <w:t>Reductions in budgets for income or overhead recovery</w:t>
            </w:r>
          </w:p>
        </w:tc>
      </w:tr>
      <w:tr w:rsidR="00EE7AF0" w14:paraId="1623F122" w14:textId="77777777" w:rsidTr="008C7815">
        <w:tc>
          <w:tcPr>
            <w:tcW w:w="704" w:type="dxa"/>
          </w:tcPr>
          <w:p w14:paraId="4CB6899D" w14:textId="77777777" w:rsidR="00EE7AF0" w:rsidRDefault="00EE7AF0" w:rsidP="00EE7AF0">
            <w:pPr>
              <w:pStyle w:val="MainText"/>
              <w:numPr>
                <w:ilvl w:val="0"/>
                <w:numId w:val="13"/>
              </w:numPr>
              <w:spacing w:after="0" w:line="240" w:lineRule="auto"/>
              <w:rPr>
                <w:rFonts w:cs="Arial"/>
                <w:szCs w:val="22"/>
              </w:rPr>
            </w:pPr>
          </w:p>
        </w:tc>
        <w:tc>
          <w:tcPr>
            <w:tcW w:w="7048" w:type="dxa"/>
          </w:tcPr>
          <w:p w14:paraId="11CA3A1C" w14:textId="77777777" w:rsidR="00EE7AF0" w:rsidRDefault="00EE7AF0" w:rsidP="008C7815">
            <w:pPr>
              <w:pStyle w:val="MainText"/>
              <w:spacing w:line="240" w:lineRule="auto"/>
              <w:rPr>
                <w:rFonts w:cs="Arial"/>
                <w:szCs w:val="22"/>
              </w:rPr>
            </w:pPr>
            <w:r>
              <w:rPr>
                <w:rFonts w:cs="Arial"/>
                <w:szCs w:val="22"/>
              </w:rPr>
              <w:t>Increases in budgets for income or overhead recovery</w:t>
            </w:r>
          </w:p>
        </w:tc>
      </w:tr>
      <w:tr w:rsidR="00EE7AF0" w14:paraId="253D805A" w14:textId="77777777" w:rsidTr="008C7815">
        <w:tc>
          <w:tcPr>
            <w:tcW w:w="704" w:type="dxa"/>
          </w:tcPr>
          <w:p w14:paraId="7BE65839" w14:textId="77777777" w:rsidR="00EE7AF0" w:rsidRDefault="00EE7AF0" w:rsidP="00EE7AF0">
            <w:pPr>
              <w:pStyle w:val="MainText"/>
              <w:numPr>
                <w:ilvl w:val="0"/>
                <w:numId w:val="13"/>
              </w:numPr>
              <w:spacing w:after="0" w:line="240" w:lineRule="auto"/>
              <w:rPr>
                <w:rFonts w:cs="Arial"/>
                <w:szCs w:val="22"/>
              </w:rPr>
            </w:pPr>
          </w:p>
        </w:tc>
        <w:tc>
          <w:tcPr>
            <w:tcW w:w="7048" w:type="dxa"/>
          </w:tcPr>
          <w:p w14:paraId="4ED38FB9" w14:textId="77777777" w:rsidR="00EE7AF0" w:rsidRDefault="00EE7AF0" w:rsidP="008C7815">
            <w:pPr>
              <w:pStyle w:val="MainText"/>
              <w:spacing w:line="240" w:lineRule="auto"/>
              <w:rPr>
                <w:rFonts w:cs="Arial"/>
                <w:szCs w:val="22"/>
              </w:rPr>
            </w:pPr>
            <w:r>
              <w:rPr>
                <w:rFonts w:cs="Arial"/>
                <w:szCs w:val="22"/>
              </w:rPr>
              <w:t xml:space="preserve">Other </w:t>
            </w:r>
          </w:p>
        </w:tc>
      </w:tr>
    </w:tbl>
    <w:p w14:paraId="4371D5DC" w14:textId="77777777" w:rsidR="00EE7AF0" w:rsidRDefault="00EE7AF0" w:rsidP="00EE7AF0">
      <w:pPr>
        <w:pStyle w:val="MainText"/>
        <w:spacing w:line="240" w:lineRule="auto"/>
        <w:rPr>
          <w:rFonts w:cs="Arial"/>
          <w:szCs w:val="22"/>
        </w:rPr>
      </w:pPr>
    </w:p>
    <w:p w14:paraId="0126389C" w14:textId="77777777" w:rsidR="00EE7AF0" w:rsidRPr="002C179C" w:rsidRDefault="00EE7AF0" w:rsidP="00EE7AF0">
      <w:pPr>
        <w:pStyle w:val="MainText"/>
        <w:spacing w:line="240" w:lineRule="auto"/>
        <w:rPr>
          <w:rFonts w:cs="Arial"/>
          <w:b/>
          <w:szCs w:val="22"/>
        </w:rPr>
      </w:pPr>
      <w:r>
        <w:rPr>
          <w:rFonts w:cs="Arial"/>
          <w:b/>
          <w:szCs w:val="22"/>
        </w:rPr>
        <w:t>Budget delegation Letters</w:t>
      </w:r>
    </w:p>
    <w:p w14:paraId="32566A6D" w14:textId="77777777" w:rsidR="00EE7AF0" w:rsidRDefault="00EE7AF0" w:rsidP="00EE7AF0">
      <w:pPr>
        <w:pStyle w:val="MainText"/>
        <w:numPr>
          <w:ilvl w:val="0"/>
          <w:numId w:val="3"/>
        </w:numPr>
        <w:spacing w:line="240" w:lineRule="auto"/>
        <w:rPr>
          <w:rFonts w:cs="Arial"/>
          <w:szCs w:val="22"/>
        </w:rPr>
      </w:pPr>
      <w:r>
        <w:rPr>
          <w:rFonts w:cs="Arial"/>
          <w:szCs w:val="22"/>
        </w:rPr>
        <w:t xml:space="preserve">In order to formalise the ownership of budgets, once the budget has been approved by SMT, I will write to you, confirming your final allocated budget (post any adjustments imposed by SMT and/or Leadership, either generally across the organisation or specifically for individual cost centres).  </w:t>
      </w:r>
    </w:p>
    <w:p w14:paraId="383DA274" w14:textId="77777777" w:rsidR="00EE7AF0" w:rsidRDefault="00EE7AF0" w:rsidP="00EE7AF0">
      <w:pPr>
        <w:pStyle w:val="MainText"/>
        <w:numPr>
          <w:ilvl w:val="0"/>
          <w:numId w:val="3"/>
        </w:numPr>
        <w:spacing w:line="240" w:lineRule="auto"/>
        <w:rPr>
          <w:rFonts w:cs="Arial"/>
          <w:szCs w:val="22"/>
        </w:rPr>
      </w:pPr>
      <w:r>
        <w:rPr>
          <w:rFonts w:cs="Arial"/>
          <w:szCs w:val="22"/>
        </w:rPr>
        <w:t xml:space="preserve">I will then require the budget holders to confirm, in writing, that: you have been involved in the budget process; you understand the budget that has been allocated to you; and an acceptance of responsibility to live within that budget (subject to a proper budget </w:t>
      </w:r>
      <w:proofErr w:type="spellStart"/>
      <w:r>
        <w:rPr>
          <w:rFonts w:cs="Arial"/>
          <w:szCs w:val="22"/>
        </w:rPr>
        <w:t>virement</w:t>
      </w:r>
      <w:proofErr w:type="spellEnd"/>
      <w:r>
        <w:rPr>
          <w:rFonts w:cs="Arial"/>
          <w:szCs w:val="22"/>
        </w:rPr>
        <w:t xml:space="preserve"> process during the year).</w:t>
      </w:r>
    </w:p>
    <w:p w14:paraId="2F8E0CBA" w14:textId="77777777" w:rsidR="00EE7AF0" w:rsidRPr="002C179C" w:rsidRDefault="00EE7AF0" w:rsidP="00EE7AF0">
      <w:pPr>
        <w:pStyle w:val="MainText"/>
        <w:spacing w:line="240" w:lineRule="auto"/>
        <w:rPr>
          <w:rFonts w:cs="Arial"/>
          <w:b/>
          <w:szCs w:val="22"/>
        </w:rPr>
      </w:pPr>
      <w:r>
        <w:rPr>
          <w:rFonts w:cs="Arial"/>
          <w:b/>
          <w:szCs w:val="22"/>
        </w:rPr>
        <w:t>What we will do for you?</w:t>
      </w:r>
    </w:p>
    <w:p w14:paraId="778B0FC9" w14:textId="77777777" w:rsidR="00EE7AF0" w:rsidRDefault="00EE7AF0" w:rsidP="00EE7AF0">
      <w:pPr>
        <w:pStyle w:val="MainText"/>
        <w:numPr>
          <w:ilvl w:val="0"/>
          <w:numId w:val="3"/>
        </w:numPr>
        <w:spacing w:line="240" w:lineRule="auto"/>
        <w:rPr>
          <w:rFonts w:cs="Arial"/>
          <w:szCs w:val="22"/>
        </w:rPr>
      </w:pPr>
      <w:r>
        <w:rPr>
          <w:rFonts w:cs="Arial"/>
          <w:szCs w:val="22"/>
        </w:rPr>
        <w:t xml:space="preserve">We are aware through the staff appraisal process that some </w:t>
      </w:r>
      <w:r w:rsidR="00CB215E">
        <w:rPr>
          <w:rFonts w:cs="Arial"/>
          <w:szCs w:val="22"/>
        </w:rPr>
        <w:t xml:space="preserve">colleagues </w:t>
      </w:r>
      <w:r>
        <w:rPr>
          <w:rFonts w:cs="Arial"/>
          <w:szCs w:val="22"/>
        </w:rPr>
        <w:t xml:space="preserve">are less confident in managing budgets so I have asked my team to be available to provide support and </w:t>
      </w:r>
      <w:r w:rsidR="000004D9">
        <w:rPr>
          <w:rFonts w:cs="Arial"/>
          <w:szCs w:val="22"/>
        </w:rPr>
        <w:t xml:space="preserve">further </w:t>
      </w:r>
      <w:r>
        <w:rPr>
          <w:rFonts w:cs="Arial"/>
          <w:szCs w:val="22"/>
        </w:rPr>
        <w:t>training as necessary.</w:t>
      </w:r>
    </w:p>
    <w:p w14:paraId="2CE99884" w14:textId="77777777" w:rsidR="00EE7AF0" w:rsidRDefault="00EE7AF0" w:rsidP="00EE7AF0">
      <w:pPr>
        <w:pStyle w:val="MainText"/>
        <w:numPr>
          <w:ilvl w:val="0"/>
          <w:numId w:val="3"/>
        </w:numPr>
        <w:spacing w:line="240" w:lineRule="auto"/>
        <w:rPr>
          <w:rFonts w:cs="Arial"/>
          <w:szCs w:val="22"/>
        </w:rPr>
      </w:pPr>
      <w:r>
        <w:rPr>
          <w:rFonts w:cs="Arial"/>
          <w:szCs w:val="22"/>
        </w:rPr>
        <w:lastRenderedPageBreak/>
        <w:t xml:space="preserve">The new style working papers and phasing requirement are part of a move to support improved resource management across the LGA.  This will allow budget managers (and where required through SMT) to use staff and non-staff resources to deliver the outputs of our overall business plan, and where opportunities exist improve levels of commercial income. </w:t>
      </w:r>
    </w:p>
    <w:p w14:paraId="188CDB98" w14:textId="77777777" w:rsidR="00EE7AF0" w:rsidRDefault="00EE7AF0" w:rsidP="00EE7AF0">
      <w:pPr>
        <w:pStyle w:val="MainText"/>
        <w:numPr>
          <w:ilvl w:val="0"/>
          <w:numId w:val="3"/>
        </w:numPr>
        <w:spacing w:line="240" w:lineRule="auto"/>
        <w:rPr>
          <w:rFonts w:cs="Arial"/>
          <w:szCs w:val="22"/>
        </w:rPr>
      </w:pPr>
      <w:r>
        <w:rPr>
          <w:rFonts w:cs="Arial"/>
          <w:szCs w:val="22"/>
        </w:rPr>
        <w:t xml:space="preserve">We have booked a room to hold </w:t>
      </w:r>
      <w:r w:rsidR="00CB215E">
        <w:rPr>
          <w:rFonts w:cs="Arial"/>
          <w:szCs w:val="22"/>
        </w:rPr>
        <w:t xml:space="preserve">short </w:t>
      </w:r>
      <w:r>
        <w:rPr>
          <w:rFonts w:cs="Arial"/>
          <w:szCs w:val="22"/>
        </w:rPr>
        <w:t xml:space="preserve">workshops over the </w:t>
      </w:r>
      <w:r w:rsidR="000004D9">
        <w:rPr>
          <w:rFonts w:cs="Arial"/>
          <w:szCs w:val="22"/>
        </w:rPr>
        <w:t>coming</w:t>
      </w:r>
      <w:r>
        <w:rPr>
          <w:rFonts w:cs="Arial"/>
          <w:szCs w:val="22"/>
        </w:rPr>
        <w:t xml:space="preserve"> weeks, please book into one of the diary slots in the [</w:t>
      </w:r>
      <w:hyperlink r:id="rId11" w:history="1">
        <w:r w:rsidRPr="00187135">
          <w:rPr>
            <w:rStyle w:val="Hyperlink"/>
            <w:rFonts w:cs="Arial"/>
            <w:szCs w:val="22"/>
            <w:highlight w:val="yellow"/>
          </w:rPr>
          <w:t>schedule</w:t>
        </w:r>
      </w:hyperlink>
      <w:r>
        <w:rPr>
          <w:rFonts w:cs="Arial"/>
          <w:szCs w:val="22"/>
        </w:rPr>
        <w:t xml:space="preserve">].  My team will answer questions as to how to best prepare your budget for next year.  It is important to provide explanations for variances to the base budget to help your SMT representative and SMT as a whole to recommend a budget for approval to the Leadership Board on 7 March.  </w:t>
      </w:r>
    </w:p>
    <w:p w14:paraId="6ED10F50" w14:textId="77777777" w:rsidR="00EE7AF0" w:rsidRDefault="00EE7AF0" w:rsidP="00EE7AF0">
      <w:pPr>
        <w:pStyle w:val="MainText"/>
        <w:numPr>
          <w:ilvl w:val="0"/>
          <w:numId w:val="3"/>
        </w:numPr>
        <w:spacing w:line="240" w:lineRule="auto"/>
        <w:rPr>
          <w:rFonts w:cs="Arial"/>
          <w:szCs w:val="22"/>
        </w:rPr>
      </w:pPr>
      <w:r>
        <w:rPr>
          <w:rFonts w:cs="Arial"/>
          <w:szCs w:val="22"/>
        </w:rPr>
        <w:t xml:space="preserve">Thank you for taking the time to read this email, myself and the finance team look forward to helping you and your support teams to deliver all budget returns back by the key deadline of </w:t>
      </w:r>
      <w:r w:rsidRPr="00882A5C">
        <w:rPr>
          <w:rFonts w:cs="Arial"/>
          <w:b/>
          <w:szCs w:val="22"/>
        </w:rPr>
        <w:t xml:space="preserve">midday on </w:t>
      </w:r>
      <w:r>
        <w:rPr>
          <w:rFonts w:cs="Arial"/>
          <w:b/>
          <w:szCs w:val="22"/>
        </w:rPr>
        <w:t xml:space="preserve">Friday 9 </w:t>
      </w:r>
      <w:r w:rsidRPr="00882A5C">
        <w:rPr>
          <w:rFonts w:cs="Arial"/>
          <w:b/>
          <w:szCs w:val="22"/>
        </w:rPr>
        <w:t>February</w:t>
      </w:r>
      <w:r>
        <w:rPr>
          <w:rFonts w:cs="Arial"/>
          <w:b/>
          <w:szCs w:val="22"/>
        </w:rPr>
        <w:t xml:space="preserve"> 2018.</w:t>
      </w:r>
    </w:p>
    <w:p w14:paraId="654559A2" w14:textId="77777777" w:rsidR="00EE7AF0" w:rsidRDefault="00EE7AF0" w:rsidP="00EE7AF0">
      <w:pPr>
        <w:pStyle w:val="MainText"/>
        <w:spacing w:line="240" w:lineRule="auto"/>
        <w:rPr>
          <w:rFonts w:cs="Arial"/>
          <w:szCs w:val="22"/>
        </w:rPr>
      </w:pPr>
    </w:p>
    <w:p w14:paraId="308C9982" w14:textId="77777777" w:rsidR="00EE7AF0" w:rsidRDefault="00EE7AF0" w:rsidP="00EE7AF0">
      <w:pPr>
        <w:pStyle w:val="MainText"/>
        <w:spacing w:line="240" w:lineRule="auto"/>
        <w:rPr>
          <w:rFonts w:cs="Arial"/>
          <w:szCs w:val="22"/>
        </w:rPr>
      </w:pPr>
      <w:r>
        <w:rPr>
          <w:rFonts w:cs="Arial"/>
          <w:szCs w:val="22"/>
        </w:rPr>
        <w:t>Regards</w:t>
      </w:r>
    </w:p>
    <w:p w14:paraId="1CE9DB28" w14:textId="77777777" w:rsidR="00EE7AF0" w:rsidRDefault="00EE7AF0" w:rsidP="00EE7AF0">
      <w:pPr>
        <w:pStyle w:val="MainText"/>
        <w:spacing w:line="240" w:lineRule="auto"/>
        <w:rPr>
          <w:rFonts w:cs="Arial"/>
          <w:szCs w:val="22"/>
        </w:rPr>
      </w:pPr>
    </w:p>
    <w:p w14:paraId="52895995" w14:textId="77777777" w:rsidR="00EE7AF0" w:rsidRDefault="00EE7AF0" w:rsidP="00EE7AF0">
      <w:pPr>
        <w:pStyle w:val="MainText"/>
        <w:spacing w:line="240" w:lineRule="auto"/>
        <w:rPr>
          <w:rFonts w:cs="Arial"/>
          <w:szCs w:val="22"/>
        </w:rPr>
      </w:pPr>
      <w:r>
        <w:rPr>
          <w:rFonts w:cs="Arial"/>
          <w:szCs w:val="22"/>
        </w:rPr>
        <w:t xml:space="preserve">Jonathan Gratte </w:t>
      </w:r>
    </w:p>
    <w:p w14:paraId="7A3E90FA" w14:textId="77777777" w:rsidR="00EE7AF0" w:rsidRDefault="00EE7AF0" w:rsidP="00EE7AF0">
      <w:pPr>
        <w:pStyle w:val="MainText"/>
        <w:spacing w:line="240" w:lineRule="auto"/>
        <w:rPr>
          <w:rFonts w:cs="Arial"/>
          <w:szCs w:val="22"/>
        </w:rPr>
      </w:pPr>
      <w:r>
        <w:rPr>
          <w:rFonts w:cs="Arial"/>
          <w:szCs w:val="22"/>
        </w:rPr>
        <w:t>Strategic Financial Manager</w:t>
      </w:r>
    </w:p>
    <w:p w14:paraId="4D4CBD95" w14:textId="77777777" w:rsidR="00EE7AF0" w:rsidRDefault="00EE7AF0" w:rsidP="00EE7AF0">
      <w:pPr>
        <w:pStyle w:val="MainText"/>
        <w:spacing w:line="240" w:lineRule="auto"/>
        <w:rPr>
          <w:rFonts w:cs="Arial"/>
          <w:szCs w:val="22"/>
        </w:rPr>
      </w:pPr>
    </w:p>
    <w:p w14:paraId="1411D339" w14:textId="77777777" w:rsidR="00EE7AF0" w:rsidRPr="00095CDE" w:rsidRDefault="00EE7AF0" w:rsidP="00EE7AF0">
      <w:pPr>
        <w:pStyle w:val="MainText"/>
        <w:rPr>
          <w:rFonts w:cs="Arial"/>
          <w:szCs w:val="22"/>
        </w:rPr>
      </w:pPr>
    </w:p>
    <w:p w14:paraId="0AE1003C" w14:textId="77777777" w:rsidR="00103C35" w:rsidRDefault="00103C35"/>
    <w:p w14:paraId="74D2BF0E" w14:textId="77777777" w:rsidR="00103C35" w:rsidRDefault="00103C35"/>
    <w:p w14:paraId="53F8844E" w14:textId="77777777" w:rsidR="00103C35" w:rsidRDefault="00103C35"/>
    <w:p w14:paraId="7FF886DD" w14:textId="77777777" w:rsidR="00103C35" w:rsidRDefault="00103C35"/>
    <w:p w14:paraId="7C5AC704" w14:textId="77777777" w:rsidR="00103C35" w:rsidRDefault="00103C35"/>
    <w:p w14:paraId="4191D2AC" w14:textId="77777777" w:rsidR="00103C35" w:rsidRDefault="00103C35"/>
    <w:p w14:paraId="124BF1D2" w14:textId="77777777" w:rsidR="00103C35" w:rsidRDefault="00103C35"/>
    <w:p w14:paraId="0688B6E5" w14:textId="77777777" w:rsidR="00103C35" w:rsidRDefault="00103C35"/>
    <w:p w14:paraId="45DD2C1C" w14:textId="77777777" w:rsidR="009F21DD" w:rsidRDefault="009F21DD"/>
    <w:p w14:paraId="50F1FB7F" w14:textId="77777777" w:rsidR="009F21DD" w:rsidRDefault="009F21DD"/>
    <w:p w14:paraId="6E4A225B" w14:textId="77777777" w:rsidR="009F21DD" w:rsidRDefault="009F21DD"/>
    <w:p w14:paraId="2D14FA7D" w14:textId="77777777" w:rsidR="009F21DD" w:rsidRPr="00C803F3" w:rsidRDefault="009F21DD"/>
    <w:sectPr w:rsidR="009F21DD"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B6E3" w14:textId="77777777" w:rsidR="00521B25" w:rsidRPr="00C803F3" w:rsidRDefault="00521B25" w:rsidP="00C803F3">
      <w:r>
        <w:separator/>
      </w:r>
    </w:p>
  </w:endnote>
  <w:endnote w:type="continuationSeparator" w:id="0">
    <w:p w14:paraId="28B98E6E" w14:textId="77777777" w:rsidR="00521B25" w:rsidRPr="00C803F3" w:rsidRDefault="00521B2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8727" w14:textId="77777777" w:rsidR="00521B25" w:rsidRPr="00C803F3" w:rsidRDefault="00521B25" w:rsidP="00C803F3">
      <w:r>
        <w:separator/>
      </w:r>
    </w:p>
  </w:footnote>
  <w:footnote w:type="continuationSeparator" w:id="0">
    <w:p w14:paraId="5F41F3E3" w14:textId="77777777" w:rsidR="00521B25" w:rsidRPr="00C803F3" w:rsidRDefault="00521B2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5A08" w14:textId="77777777" w:rsidR="008C7815" w:rsidRDefault="008C781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C7815" w:rsidRPr="00C25CA7" w14:paraId="1B7F4A95" w14:textId="77777777" w:rsidTr="000F69FB">
      <w:trPr>
        <w:trHeight w:val="416"/>
      </w:trPr>
      <w:tc>
        <w:tcPr>
          <w:tcW w:w="5812" w:type="dxa"/>
          <w:vMerge w:val="restart"/>
        </w:tcPr>
        <w:p w14:paraId="45BFAF29" w14:textId="77777777" w:rsidR="008C7815" w:rsidRPr="00C803F3" w:rsidRDefault="008C7815" w:rsidP="00C803F3">
          <w:r w:rsidRPr="00C803F3">
            <w:rPr>
              <w:noProof/>
              <w:lang w:eastAsia="en-GB"/>
            </w:rPr>
            <w:drawing>
              <wp:inline distT="0" distB="0" distL="0" distR="0" wp14:anchorId="53C6AB37" wp14:editId="07A3362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5AF91F5" w14:textId="3E70A978" w:rsidR="008C7815" w:rsidRPr="00C803F3" w:rsidRDefault="00EC3F78" w:rsidP="00FF7E4C">
              <w:r w:rsidRPr="00EC3F78">
                <w:rPr>
                  <w:b/>
                </w:rPr>
                <w:t>LGA</w:t>
              </w:r>
              <w:r>
                <w:t xml:space="preserve"> </w:t>
              </w:r>
              <w:r w:rsidR="008C7815" w:rsidRPr="00EC3F78">
                <w:rPr>
                  <w:b/>
                </w:rPr>
                <w:t>Leadership Board</w:t>
              </w:r>
            </w:p>
          </w:tc>
        </w:sdtContent>
      </w:sdt>
    </w:tr>
    <w:tr w:rsidR="008C7815" w14:paraId="11AF735E" w14:textId="77777777" w:rsidTr="000F69FB">
      <w:trPr>
        <w:trHeight w:val="406"/>
      </w:trPr>
      <w:tc>
        <w:tcPr>
          <w:tcW w:w="5812" w:type="dxa"/>
          <w:vMerge/>
        </w:tcPr>
        <w:p w14:paraId="7D5D0327" w14:textId="77777777" w:rsidR="008C7815" w:rsidRPr="00A627DD" w:rsidRDefault="008C7815" w:rsidP="00C803F3"/>
      </w:tc>
      <w:tc>
        <w:tcPr>
          <w:tcW w:w="4106" w:type="dxa"/>
        </w:tcPr>
        <w:sdt>
          <w:sdtPr>
            <w:alias w:val="Date"/>
            <w:tag w:val="Date"/>
            <w:id w:val="-488943452"/>
            <w:placeholder>
              <w:docPart w:val="DC36D9B85A214F14AB68618A90760C36"/>
            </w:placeholder>
            <w:date w:fullDate="2017-10-18T00:00:00Z">
              <w:dateFormat w:val="dd MMMM yyyy"/>
              <w:lid w:val="en-GB"/>
              <w:storeMappedDataAs w:val="dateTime"/>
              <w:calendar w:val="gregorian"/>
            </w:date>
          </w:sdtPr>
          <w:sdtEndPr/>
          <w:sdtContent>
            <w:p w14:paraId="744EE4E1" w14:textId="77777777" w:rsidR="008C7815" w:rsidRPr="00C803F3" w:rsidRDefault="008C7815" w:rsidP="00FF7E4C">
              <w:r>
                <w:t>18 October 2017</w:t>
              </w:r>
            </w:p>
          </w:sdtContent>
        </w:sdt>
      </w:tc>
    </w:tr>
    <w:tr w:rsidR="008C7815" w:rsidRPr="00C25CA7" w14:paraId="2C11E6B1" w14:textId="77777777" w:rsidTr="000F69FB">
      <w:trPr>
        <w:trHeight w:val="89"/>
      </w:trPr>
      <w:tc>
        <w:tcPr>
          <w:tcW w:w="5812" w:type="dxa"/>
          <w:vMerge/>
        </w:tcPr>
        <w:p w14:paraId="12E998B8" w14:textId="77777777" w:rsidR="008C7815" w:rsidRPr="00A627DD" w:rsidRDefault="008C7815" w:rsidP="00C803F3"/>
      </w:tc>
      <w:tc>
        <w:tcPr>
          <w:tcW w:w="4106" w:type="dxa"/>
        </w:tcPr>
        <w:sdt>
          <w:sdtPr>
            <w:alias w:val="Item no."/>
            <w:tag w:val="Item no."/>
            <w:id w:val="-624237752"/>
            <w:placeholder>
              <w:docPart w:val="E82C81CF1FFA4ABEBE434B5B73B7C3E5"/>
            </w:placeholder>
          </w:sdtPr>
          <w:sdtEndPr/>
          <w:sdtContent>
            <w:p w14:paraId="26948DD5" w14:textId="3E547202" w:rsidR="008C7815" w:rsidRPr="00C803F3" w:rsidRDefault="00B42A88" w:rsidP="00B42A88">
              <w:r>
                <w:t xml:space="preserve">   </w:t>
              </w:r>
            </w:p>
          </w:sdtContent>
        </w:sdt>
      </w:tc>
    </w:tr>
  </w:tbl>
  <w:p w14:paraId="45CBE4A0" w14:textId="77777777" w:rsidR="008C7815" w:rsidRDefault="008C7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2A88" w:rsidRPr="00C803F3" w14:paraId="7D1DF2EB" w14:textId="77777777" w:rsidTr="00FD5FB5">
      <w:trPr>
        <w:trHeight w:val="416"/>
      </w:trPr>
      <w:tc>
        <w:tcPr>
          <w:tcW w:w="5812" w:type="dxa"/>
          <w:vMerge w:val="restart"/>
        </w:tcPr>
        <w:p w14:paraId="74DF2E0C" w14:textId="77777777" w:rsidR="00B42A88" w:rsidRPr="00C803F3" w:rsidRDefault="00B42A88" w:rsidP="00B42A88">
          <w:r w:rsidRPr="00C803F3">
            <w:rPr>
              <w:noProof/>
              <w:lang w:eastAsia="en-GB"/>
            </w:rPr>
            <w:drawing>
              <wp:inline distT="0" distB="0" distL="0" distR="0" wp14:anchorId="186E2637" wp14:editId="2A64AF8B">
                <wp:extent cx="1266825" cy="7516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815" cy="756984"/>
                        </a:xfrm>
                        <a:prstGeom prst="rect">
                          <a:avLst/>
                        </a:prstGeom>
                        <a:noFill/>
                        <a:ln>
                          <a:noFill/>
                        </a:ln>
                      </pic:spPr>
                    </pic:pic>
                  </a:graphicData>
                </a:graphic>
              </wp:inline>
            </w:drawing>
          </w:r>
        </w:p>
      </w:tc>
      <w:sdt>
        <w:sdtPr>
          <w:alias w:val="Board"/>
          <w:tag w:val="Board"/>
          <w:id w:val="-1348467893"/>
          <w:placeholder>
            <w:docPart w:val="31845637447343AEB79ADAF7C884A34D"/>
          </w:placeholder>
        </w:sdtPr>
        <w:sdtContent>
          <w:tc>
            <w:tcPr>
              <w:tcW w:w="4106" w:type="dxa"/>
            </w:tcPr>
            <w:p w14:paraId="30F68A21" w14:textId="77777777" w:rsidR="00B42A88" w:rsidRPr="00C803F3" w:rsidRDefault="00B42A88" w:rsidP="00B42A88">
              <w:r w:rsidRPr="00EC3F78">
                <w:rPr>
                  <w:b/>
                </w:rPr>
                <w:t>LGA</w:t>
              </w:r>
              <w:r>
                <w:t xml:space="preserve"> </w:t>
              </w:r>
              <w:r w:rsidRPr="00EC3F78">
                <w:rPr>
                  <w:b/>
                </w:rPr>
                <w:t>Leadership Board</w:t>
              </w:r>
            </w:p>
          </w:tc>
        </w:sdtContent>
      </w:sdt>
    </w:tr>
    <w:tr w:rsidR="00B42A88" w:rsidRPr="00C803F3" w14:paraId="7F978E45" w14:textId="77777777" w:rsidTr="00FD5FB5">
      <w:trPr>
        <w:trHeight w:val="406"/>
      </w:trPr>
      <w:tc>
        <w:tcPr>
          <w:tcW w:w="5812" w:type="dxa"/>
          <w:vMerge/>
        </w:tcPr>
        <w:p w14:paraId="00FD26E6" w14:textId="77777777" w:rsidR="00B42A88" w:rsidRPr="00A627DD" w:rsidRDefault="00B42A88" w:rsidP="00B42A88"/>
      </w:tc>
      <w:tc>
        <w:tcPr>
          <w:tcW w:w="4106" w:type="dxa"/>
        </w:tcPr>
        <w:sdt>
          <w:sdtPr>
            <w:alias w:val="Date"/>
            <w:tag w:val="Date"/>
            <w:id w:val="-1784955319"/>
            <w:placeholder>
              <w:docPart w:val="0002509C644C462A866E81293AED7132"/>
            </w:placeholder>
            <w:date w:fullDate="2017-10-18T00:00:00Z">
              <w:dateFormat w:val="dd MMMM yyyy"/>
              <w:lid w:val="en-GB"/>
              <w:storeMappedDataAs w:val="dateTime"/>
              <w:calendar w:val="gregorian"/>
            </w:date>
          </w:sdtPr>
          <w:sdtContent>
            <w:p w14:paraId="0AC9ED0C" w14:textId="77777777" w:rsidR="00B42A88" w:rsidRPr="00C803F3" w:rsidRDefault="00B42A88" w:rsidP="00B42A88">
              <w:r>
                <w:t>18 October 2017</w:t>
              </w:r>
            </w:p>
          </w:sdtContent>
        </w:sdt>
      </w:tc>
    </w:tr>
    <w:tr w:rsidR="00B42A88" w:rsidRPr="00C803F3" w14:paraId="1221094A" w14:textId="77777777" w:rsidTr="00FD5FB5">
      <w:trPr>
        <w:trHeight w:val="89"/>
      </w:trPr>
      <w:tc>
        <w:tcPr>
          <w:tcW w:w="5812" w:type="dxa"/>
          <w:vMerge/>
        </w:tcPr>
        <w:p w14:paraId="7439D926" w14:textId="77777777" w:rsidR="00B42A88" w:rsidRPr="00A627DD" w:rsidRDefault="00B42A88" w:rsidP="00B42A88"/>
      </w:tc>
      <w:tc>
        <w:tcPr>
          <w:tcW w:w="4106" w:type="dxa"/>
        </w:tcPr>
        <w:sdt>
          <w:sdtPr>
            <w:alias w:val="Item no."/>
            <w:tag w:val="Item no."/>
            <w:id w:val="1802882484"/>
            <w:placeholder>
              <w:docPart w:val="C2A6210C4A604D36B1A207F1B7775FF8"/>
            </w:placeholder>
          </w:sdtPr>
          <w:sdtContent>
            <w:p w14:paraId="6A4C7493" w14:textId="77777777" w:rsidR="00B42A88" w:rsidRPr="00C803F3" w:rsidRDefault="00B42A88" w:rsidP="00B42A88">
              <w:r>
                <w:t xml:space="preserve">   </w:t>
              </w:r>
            </w:p>
          </w:sdtContent>
        </w:sdt>
      </w:tc>
    </w:tr>
  </w:tbl>
  <w:p w14:paraId="5DB09306" w14:textId="77777777" w:rsidR="008C7815" w:rsidRPr="009F21DD" w:rsidRDefault="008C7815" w:rsidP="009F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F02"/>
    <w:multiLevelType w:val="multilevel"/>
    <w:tmpl w:val="92429962"/>
    <w:lvl w:ilvl="0">
      <w:start w:val="1"/>
      <w:numFmt w:val="decimal"/>
      <w:lvlText w:val="%1."/>
      <w:lvlJc w:val="left"/>
      <w:pPr>
        <w:ind w:left="360" w:hanging="360"/>
      </w:pPr>
      <w:rPr>
        <w:rFonts w:hint="default"/>
        <w:b w:val="0"/>
      </w:rPr>
    </w:lvl>
    <w:lvl w:ilvl="1">
      <w:start w:val="1"/>
      <w:numFmt w:val="bullet"/>
      <w:lvlText w:val=""/>
      <w:lvlJc w:val="left"/>
      <w:pPr>
        <w:ind w:left="1229" w:hanging="661"/>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95657"/>
    <w:multiLevelType w:val="multilevel"/>
    <w:tmpl w:val="46F47C0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7D672D"/>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BF4E0F"/>
    <w:multiLevelType w:val="hybridMultilevel"/>
    <w:tmpl w:val="8646B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934E06"/>
    <w:multiLevelType w:val="multilevel"/>
    <w:tmpl w:val="C82A91C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CC2717"/>
    <w:multiLevelType w:val="multilevel"/>
    <w:tmpl w:val="BF92EA7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52E2F"/>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4"/>
  </w:num>
  <w:num w:numId="5">
    <w:abstractNumId w:val="2"/>
  </w:num>
  <w:num w:numId="6">
    <w:abstractNumId w:val="8"/>
  </w:num>
  <w:num w:numId="7">
    <w:abstractNumId w:val="3"/>
  </w:num>
  <w:num w:numId="8">
    <w:abstractNumId w:val="2"/>
  </w:num>
  <w:num w:numId="9">
    <w:abstractNumId w:val="2"/>
  </w:num>
  <w:num w:numId="10">
    <w:abstractNumId w:val="2"/>
  </w:num>
  <w:num w:numId="11">
    <w:abstractNumId w:val="2"/>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4D9"/>
    <w:rsid w:val="00016097"/>
    <w:rsid w:val="000E304B"/>
    <w:rsid w:val="000F69FB"/>
    <w:rsid w:val="00103C35"/>
    <w:rsid w:val="001079D9"/>
    <w:rsid w:val="00153B70"/>
    <w:rsid w:val="001B36CE"/>
    <w:rsid w:val="00200AC6"/>
    <w:rsid w:val="00225520"/>
    <w:rsid w:val="002539E9"/>
    <w:rsid w:val="002974C3"/>
    <w:rsid w:val="00301A51"/>
    <w:rsid w:val="00301B72"/>
    <w:rsid w:val="00304A6F"/>
    <w:rsid w:val="003317CE"/>
    <w:rsid w:val="00350228"/>
    <w:rsid w:val="0041547F"/>
    <w:rsid w:val="00422676"/>
    <w:rsid w:val="00521B25"/>
    <w:rsid w:val="005C08D2"/>
    <w:rsid w:val="0060439A"/>
    <w:rsid w:val="0071033C"/>
    <w:rsid w:val="00712C86"/>
    <w:rsid w:val="007622BA"/>
    <w:rsid w:val="00795C95"/>
    <w:rsid w:val="0080661C"/>
    <w:rsid w:val="008578B6"/>
    <w:rsid w:val="00891AE9"/>
    <w:rsid w:val="008C7815"/>
    <w:rsid w:val="009B1AA8"/>
    <w:rsid w:val="009B6F95"/>
    <w:rsid w:val="009F21DD"/>
    <w:rsid w:val="00B42A88"/>
    <w:rsid w:val="00B46ECB"/>
    <w:rsid w:val="00B84F31"/>
    <w:rsid w:val="00BB3BEA"/>
    <w:rsid w:val="00BE783B"/>
    <w:rsid w:val="00C61E2D"/>
    <w:rsid w:val="00C803F3"/>
    <w:rsid w:val="00CB215E"/>
    <w:rsid w:val="00CD3401"/>
    <w:rsid w:val="00D45B4D"/>
    <w:rsid w:val="00D46408"/>
    <w:rsid w:val="00D67DAD"/>
    <w:rsid w:val="00D975F8"/>
    <w:rsid w:val="00DA7394"/>
    <w:rsid w:val="00E70C3B"/>
    <w:rsid w:val="00EC3F78"/>
    <w:rsid w:val="00EE6156"/>
    <w:rsid w:val="00EE7AF0"/>
    <w:rsid w:val="00F052C9"/>
    <w:rsid w:val="00F27F41"/>
    <w:rsid w:val="00FF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C1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CommentText">
    <w:name w:val="annotation text"/>
    <w:basedOn w:val="Normal"/>
    <w:link w:val="CommentTextChar"/>
    <w:uiPriority w:val="99"/>
    <w:semiHidden/>
    <w:unhideWhenUsed/>
    <w:rsid w:val="001079D9"/>
    <w:pPr>
      <w:spacing w:line="240" w:lineRule="auto"/>
    </w:pPr>
    <w:rPr>
      <w:sz w:val="20"/>
      <w:szCs w:val="20"/>
    </w:rPr>
  </w:style>
  <w:style w:type="character" w:customStyle="1" w:styleId="CommentTextChar">
    <w:name w:val="Comment Text Char"/>
    <w:basedOn w:val="DefaultParagraphFont"/>
    <w:link w:val="CommentText"/>
    <w:uiPriority w:val="99"/>
    <w:semiHidden/>
    <w:rsid w:val="001079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079D9"/>
    <w:pPr>
      <w:spacing w:after="120"/>
      <w:ind w:left="0" w:firstLine="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1079D9"/>
    <w:rPr>
      <w:rFonts w:ascii="Arial" w:eastAsia="Times New Roman" w:hAnsi="Arial" w:cs="Times New Roman"/>
      <w:b/>
      <w:bCs/>
      <w:sz w:val="20"/>
      <w:szCs w:val="20"/>
      <w:lang w:eastAsia="en-GB"/>
    </w:rPr>
  </w:style>
  <w:style w:type="paragraph" w:customStyle="1" w:styleId="MainText">
    <w:name w:val="Main Text"/>
    <w:basedOn w:val="Normal"/>
    <w:link w:val="MainTextChar"/>
    <w:rsid w:val="00103C35"/>
    <w:pPr>
      <w:spacing w:after="120" w:line="280" w:lineRule="exact"/>
      <w:ind w:left="0" w:firstLine="0"/>
    </w:pPr>
    <w:rPr>
      <w:rFonts w:eastAsia="Times New Roman" w:cs="Times New Roman"/>
      <w:szCs w:val="20"/>
      <w:lang w:eastAsia="en-GB"/>
    </w:rPr>
  </w:style>
  <w:style w:type="character" w:customStyle="1" w:styleId="MainTextChar">
    <w:name w:val="Main Text Char"/>
    <w:link w:val="MainText"/>
    <w:rsid w:val="00103C35"/>
    <w:rPr>
      <w:rFonts w:ascii="Arial" w:eastAsia="Times New Roman" w:hAnsi="Arial" w:cs="Times New Roman"/>
      <w:szCs w:val="20"/>
      <w:lang w:eastAsia="en-GB"/>
    </w:rPr>
  </w:style>
  <w:style w:type="character" w:styleId="Hyperlink">
    <w:name w:val="Hyperlink"/>
    <w:basedOn w:val="DefaultParagraphFont"/>
    <w:uiPriority w:val="99"/>
    <w:unhideWhenUsed/>
    <w:rsid w:val="00EE7AF0"/>
    <w:rPr>
      <w:color w:val="0563C1" w:themeColor="hyperlink"/>
      <w:u w:val="single"/>
    </w:rPr>
  </w:style>
  <w:style w:type="paragraph" w:styleId="BalloonText">
    <w:name w:val="Balloon Text"/>
    <w:basedOn w:val="Normal"/>
    <w:link w:val="BalloonTextChar"/>
    <w:uiPriority w:val="99"/>
    <w:semiHidden/>
    <w:unhideWhenUsed/>
    <w:rsid w:val="00EE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B21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76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usiness%20Support\Business%20Support%20Shared%20Area\Financial%20Management\2017-18\BUDGET\Budget%202017-18%20diary%20slots.xl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19CC483F0124F258242828D441B43D4"/>
        <w:category>
          <w:name w:val="General"/>
          <w:gallery w:val="placeholder"/>
        </w:category>
        <w:types>
          <w:type w:val="bbPlcHdr"/>
        </w:types>
        <w:behaviors>
          <w:behavior w:val="content"/>
        </w:behaviors>
        <w:guid w:val="{D0A064F9-4985-4A0C-B2C2-779CD78F34DB}"/>
      </w:docPartPr>
      <w:docPartBody>
        <w:p w:rsidR="005D18D7" w:rsidRDefault="00991379" w:rsidP="00991379">
          <w:pPr>
            <w:pStyle w:val="F19CC483F0124F258242828D441B43D4"/>
          </w:pPr>
          <w:r w:rsidRPr="00FB1144">
            <w:rPr>
              <w:rStyle w:val="PlaceholderText"/>
            </w:rPr>
            <w:t>Click here to enter text.</w:t>
          </w:r>
        </w:p>
      </w:docPartBody>
    </w:docPart>
    <w:docPart>
      <w:docPartPr>
        <w:name w:val="31845637447343AEB79ADAF7C884A34D"/>
        <w:category>
          <w:name w:val="General"/>
          <w:gallery w:val="placeholder"/>
        </w:category>
        <w:types>
          <w:type w:val="bbPlcHdr"/>
        </w:types>
        <w:behaviors>
          <w:behavior w:val="content"/>
        </w:behaviors>
        <w:guid w:val="{A46EFDB6-9A7F-4431-82D8-76B85483082E}"/>
      </w:docPartPr>
      <w:docPartBody>
        <w:p w:rsidR="00000000" w:rsidRDefault="00641828" w:rsidP="00641828">
          <w:pPr>
            <w:pStyle w:val="31845637447343AEB79ADAF7C884A34D"/>
          </w:pPr>
          <w:r w:rsidRPr="00FB1144">
            <w:rPr>
              <w:rStyle w:val="PlaceholderText"/>
            </w:rPr>
            <w:t>Click here to enter text.</w:t>
          </w:r>
        </w:p>
      </w:docPartBody>
    </w:docPart>
    <w:docPart>
      <w:docPartPr>
        <w:name w:val="0002509C644C462A866E81293AED7132"/>
        <w:category>
          <w:name w:val="General"/>
          <w:gallery w:val="placeholder"/>
        </w:category>
        <w:types>
          <w:type w:val="bbPlcHdr"/>
        </w:types>
        <w:behaviors>
          <w:behavior w:val="content"/>
        </w:behaviors>
        <w:guid w:val="{DBA6FE82-9FED-47FF-A956-7254871687E7}"/>
      </w:docPartPr>
      <w:docPartBody>
        <w:p w:rsidR="00000000" w:rsidRDefault="00641828" w:rsidP="00641828">
          <w:pPr>
            <w:pStyle w:val="0002509C644C462A866E81293AED7132"/>
          </w:pPr>
          <w:r w:rsidRPr="00FB1144">
            <w:rPr>
              <w:rStyle w:val="PlaceholderText"/>
            </w:rPr>
            <w:t>Click here to enter a date.</w:t>
          </w:r>
        </w:p>
      </w:docPartBody>
    </w:docPart>
    <w:docPart>
      <w:docPartPr>
        <w:name w:val="C2A6210C4A604D36B1A207F1B7775FF8"/>
        <w:category>
          <w:name w:val="General"/>
          <w:gallery w:val="placeholder"/>
        </w:category>
        <w:types>
          <w:type w:val="bbPlcHdr"/>
        </w:types>
        <w:behaviors>
          <w:behavior w:val="content"/>
        </w:behaviors>
        <w:guid w:val="{18955E34-5CD7-4982-A610-6444E52CC1B4}"/>
      </w:docPartPr>
      <w:docPartBody>
        <w:p w:rsidR="00000000" w:rsidRDefault="00641828" w:rsidP="00641828">
          <w:pPr>
            <w:pStyle w:val="C2A6210C4A604D36B1A207F1B7775FF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D18D7"/>
    <w:rsid w:val="00641828"/>
    <w:rsid w:val="00991379"/>
    <w:rsid w:val="00B710F9"/>
    <w:rsid w:val="00D201FF"/>
    <w:rsid w:val="00E250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82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58687BEBA4A4EB99FB0679B1453361C">
    <w:name w:val="158687BEBA4A4EB99FB0679B1453361C"/>
    <w:rsid w:val="00991379"/>
    <w:rPr>
      <w:lang w:eastAsia="en-GB"/>
    </w:rPr>
  </w:style>
  <w:style w:type="paragraph" w:customStyle="1" w:styleId="40922FDD830343AFAA7D44FF8323EABE">
    <w:name w:val="40922FDD830343AFAA7D44FF8323EABE"/>
    <w:rsid w:val="00991379"/>
    <w:rPr>
      <w:lang w:eastAsia="en-GB"/>
    </w:rPr>
  </w:style>
  <w:style w:type="paragraph" w:customStyle="1" w:styleId="6DF715BCAEF54693AEB4E06172B78511">
    <w:name w:val="6DF715BCAEF54693AEB4E06172B78511"/>
    <w:rsid w:val="00991379"/>
    <w:rPr>
      <w:lang w:eastAsia="en-GB"/>
    </w:rPr>
  </w:style>
  <w:style w:type="paragraph" w:customStyle="1" w:styleId="A426B238AD084E5C8173134C3161FDEE">
    <w:name w:val="A426B238AD084E5C8173134C3161FDEE"/>
    <w:rsid w:val="00991379"/>
    <w:rPr>
      <w:lang w:eastAsia="en-GB"/>
    </w:rPr>
  </w:style>
  <w:style w:type="paragraph" w:customStyle="1" w:styleId="2C62F0DE07EA4EB5919DAC211E7912EC">
    <w:name w:val="2C62F0DE07EA4EB5919DAC211E7912EC"/>
    <w:rsid w:val="00991379"/>
    <w:rPr>
      <w:lang w:eastAsia="en-GB"/>
    </w:rPr>
  </w:style>
  <w:style w:type="paragraph" w:customStyle="1" w:styleId="9F37F2F19EA34A6A941DBC6240389E4F">
    <w:name w:val="9F37F2F19EA34A6A941DBC6240389E4F"/>
    <w:rsid w:val="00991379"/>
    <w:rPr>
      <w:lang w:eastAsia="en-GB"/>
    </w:rPr>
  </w:style>
  <w:style w:type="paragraph" w:customStyle="1" w:styleId="F19CC483F0124F258242828D441B43D4">
    <w:name w:val="F19CC483F0124F258242828D441B43D4"/>
    <w:rsid w:val="00991379"/>
    <w:rPr>
      <w:lang w:eastAsia="en-GB"/>
    </w:rPr>
  </w:style>
  <w:style w:type="paragraph" w:customStyle="1" w:styleId="31845637447343AEB79ADAF7C884A34D">
    <w:name w:val="31845637447343AEB79ADAF7C884A34D"/>
    <w:rsid w:val="00641828"/>
    <w:rPr>
      <w:lang w:eastAsia="en-GB"/>
    </w:rPr>
  </w:style>
  <w:style w:type="paragraph" w:customStyle="1" w:styleId="0002509C644C462A866E81293AED7132">
    <w:name w:val="0002509C644C462A866E81293AED7132"/>
    <w:rsid w:val="00641828"/>
    <w:rPr>
      <w:lang w:eastAsia="en-GB"/>
    </w:rPr>
  </w:style>
  <w:style w:type="paragraph" w:customStyle="1" w:styleId="C2A6210C4A604D36B1A207F1B7775FF8">
    <w:name w:val="C2A6210C4A604D36B1A207F1B7775FF8"/>
    <w:rsid w:val="0064182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purl.org/dc/elements/1.1/"/>
    <ds:schemaRef ds:uri="http://purl.org/dc/dcmitype/"/>
    <ds:schemaRef ds:uri="1c8a0e75-f4bc-4eb4-8ed0-578eaea9e1ca"/>
    <ds:schemaRef ds:uri="c8febe6a-14d9-43ab-83c3-c48f478fa47c"/>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B188B3-22A3-463C-824F-81C9A51A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28F620F2</Template>
  <TotalTime>21</TotalTime>
  <Pages>15</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cp:lastPrinted>2017-10-06T14:52:00Z</cp:lastPrinted>
  <dcterms:created xsi:type="dcterms:W3CDTF">2017-10-11T09:19:00Z</dcterms:created>
  <dcterms:modified xsi:type="dcterms:W3CDTF">2017-10-11T17:12:00Z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